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101" w:line="230" w:lineRule="auto"/>
        <w:ind w:left="411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ascii="黑体" w:hAnsi="黑体" w:eastAsia="黑体" w:cs="黑体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2</w:t>
      </w:r>
    </w:p>
    <w:p>
      <w:pPr>
        <w:tabs>
          <w:tab w:val="left" w:pos="3908"/>
        </w:tabs>
        <w:spacing w:before="202" w:line="224" w:lineRule="auto"/>
        <w:ind w:left="2625"/>
        <w:rPr>
          <w:rFonts w:ascii="新宋体" w:hAnsi="新宋体" w:eastAsia="新宋体" w:cs="新宋体"/>
          <w:sz w:val="35"/>
          <w:szCs w:val="35"/>
        </w:rPr>
      </w:pPr>
      <w:r>
        <w:rPr>
          <w:rFonts w:ascii="新宋体" w:hAnsi="新宋体" w:eastAsia="新宋体" w:cs="新宋体"/>
          <w:sz w:val="35"/>
          <w:szCs w:val="35"/>
          <w:u w:val="single" w:color="auto"/>
        </w:rPr>
        <w:tab/>
      </w:r>
      <w:r>
        <w:rPr>
          <w:rFonts w:ascii="新宋体" w:hAnsi="新宋体" w:eastAsia="新宋体" w:cs="新宋体"/>
          <w:spacing w:val="-150"/>
          <w:sz w:val="35"/>
          <w:szCs w:val="35"/>
        </w:rPr>
        <w:t xml:space="preserve"> </w:t>
      </w:r>
      <w:r>
        <w:rPr>
          <w:rFonts w:ascii="新宋体" w:hAnsi="新宋体" w:eastAsia="新宋体" w:cs="新宋体"/>
          <w:spacing w:val="14"/>
          <w:sz w:val="35"/>
          <w:szCs w:val="35"/>
        </w:rPr>
        <w:t>年</w:t>
      </w:r>
      <w:r>
        <w:rPr>
          <w:rFonts w:ascii="新宋体" w:hAnsi="新宋体" w:eastAsia="新宋体" w:cs="新宋体"/>
          <w:spacing w:val="-168"/>
          <w:sz w:val="35"/>
          <w:szCs w:val="35"/>
        </w:rPr>
        <w:t xml:space="preserve"> </w:t>
      </w:r>
      <w:r>
        <w:rPr>
          <w:rFonts w:ascii="新宋体" w:hAnsi="新宋体" w:eastAsia="新宋体" w:cs="新宋体"/>
          <w:spacing w:val="8"/>
          <w:sz w:val="35"/>
          <w:szCs w:val="35"/>
          <w:u w:val="single" w:color="auto"/>
        </w:rPr>
        <w:t xml:space="preserve">   </w:t>
      </w:r>
      <w:r>
        <w:rPr>
          <w:rFonts w:ascii="新宋体" w:hAnsi="新宋体" w:eastAsia="新宋体" w:cs="新宋体"/>
          <w:spacing w:val="-152"/>
          <w:sz w:val="35"/>
          <w:szCs w:val="35"/>
        </w:rPr>
        <w:t xml:space="preserve"> </w:t>
      </w:r>
      <w:r>
        <w:rPr>
          <w:rFonts w:ascii="新宋体" w:hAnsi="新宋体" w:eastAsia="新宋体" w:cs="新宋体"/>
          <w:spacing w:val="14"/>
          <w:sz w:val="35"/>
          <w:szCs w:val="35"/>
        </w:rPr>
        <w:t>月</w:t>
      </w:r>
      <w:bookmarkStart w:id="0" w:name="_GoBack"/>
      <w:r>
        <w:rPr>
          <w:rFonts w:ascii="新宋体" w:hAnsi="新宋体" w:eastAsia="新宋体" w:cs="新宋体"/>
          <w:spacing w:val="14"/>
          <w:sz w:val="35"/>
          <w:szCs w:val="35"/>
        </w:rPr>
        <w:t>狂犬暴露后处置门诊监测点监测工作汇总表</w:t>
      </w:r>
      <w:bookmarkEnd w:id="0"/>
    </w:p>
    <w:p>
      <w:pPr>
        <w:spacing w:line="249" w:lineRule="auto"/>
        <w:rPr>
          <w:rFonts w:ascii="Arial"/>
          <w:sz w:val="21"/>
        </w:rPr>
      </w:pPr>
    </w:p>
    <w:p>
      <w:pPr>
        <w:pStyle w:val="2"/>
        <w:tabs>
          <w:tab w:val="left" w:pos="2208"/>
        </w:tabs>
        <w:spacing w:before="75" w:line="231" w:lineRule="auto"/>
        <w:ind w:left="112"/>
        <w:rPr>
          <w:sz w:val="23"/>
          <w:szCs w:val="23"/>
        </w:rPr>
      </w:pPr>
      <w:r>
        <w:rPr>
          <w:sz w:val="23"/>
          <w:szCs w:val="23"/>
          <w:u w:val="single" w:color="auto"/>
        </w:rPr>
        <w:tab/>
      </w:r>
      <w:r>
        <w:rPr>
          <w:spacing w:val="-91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县（市、区）</w:t>
      </w:r>
      <w:r>
        <w:rPr>
          <w:spacing w:val="-91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   </w:t>
      </w:r>
      <w:r>
        <w:rPr>
          <w:spacing w:val="-64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乡（镇）</w:t>
      </w:r>
      <w:r>
        <w:rPr>
          <w:spacing w:val="3"/>
          <w:sz w:val="23"/>
          <w:szCs w:val="23"/>
        </w:rPr>
        <w:t xml:space="preserve">                           </w:t>
      </w:r>
      <w:r>
        <w:rPr>
          <w:spacing w:val="2"/>
          <w:sz w:val="23"/>
          <w:szCs w:val="23"/>
        </w:rPr>
        <w:t xml:space="preserve">         </w:t>
      </w:r>
      <w:r>
        <w:rPr>
          <w:spacing w:val="7"/>
          <w:sz w:val="23"/>
          <w:szCs w:val="23"/>
        </w:rPr>
        <w:t>填表日期：</w:t>
      </w:r>
    </w:p>
    <w:p>
      <w:pPr>
        <w:spacing w:line="61" w:lineRule="exact"/>
      </w:pPr>
    </w:p>
    <w:tbl>
      <w:tblPr>
        <w:tblStyle w:val="5"/>
        <w:tblW w:w="147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1079"/>
        <w:gridCol w:w="500"/>
        <w:gridCol w:w="500"/>
        <w:gridCol w:w="480"/>
        <w:gridCol w:w="520"/>
        <w:gridCol w:w="580"/>
        <w:gridCol w:w="640"/>
        <w:gridCol w:w="700"/>
        <w:gridCol w:w="600"/>
        <w:gridCol w:w="700"/>
        <w:gridCol w:w="600"/>
        <w:gridCol w:w="580"/>
        <w:gridCol w:w="680"/>
        <w:gridCol w:w="620"/>
        <w:gridCol w:w="759"/>
        <w:gridCol w:w="760"/>
        <w:gridCol w:w="700"/>
        <w:gridCol w:w="979"/>
        <w:gridCol w:w="839"/>
        <w:gridCol w:w="11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44" w:type="dxa"/>
            <w:vMerge w:val="restart"/>
            <w:tcBorders>
              <w:bottom w:val="nil"/>
            </w:tcBorders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75" w:line="305" w:lineRule="auto"/>
              <w:ind w:left="309" w:right="179" w:hanging="12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监测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点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75" w:line="305" w:lineRule="auto"/>
              <w:ind w:left="422" w:right="173" w:hanging="23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门诊人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数</w:t>
            </w:r>
          </w:p>
        </w:tc>
        <w:tc>
          <w:tcPr>
            <w:tcW w:w="1000" w:type="dxa"/>
            <w:gridSpan w:val="2"/>
            <w:vAlign w:val="top"/>
          </w:tcPr>
          <w:p>
            <w:pPr>
              <w:spacing w:before="122" w:line="226" w:lineRule="auto"/>
              <w:ind w:left="26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性别</w:t>
            </w:r>
          </w:p>
        </w:tc>
        <w:tc>
          <w:tcPr>
            <w:tcW w:w="1580" w:type="dxa"/>
            <w:gridSpan w:val="3"/>
            <w:vAlign w:val="top"/>
          </w:tcPr>
          <w:p>
            <w:pPr>
              <w:spacing w:before="122" w:line="226" w:lineRule="auto"/>
              <w:ind w:left="30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伤人动物</w:t>
            </w:r>
          </w:p>
        </w:tc>
        <w:tc>
          <w:tcPr>
            <w:tcW w:w="2640" w:type="dxa"/>
            <w:gridSpan w:val="4"/>
            <w:vAlign w:val="top"/>
          </w:tcPr>
          <w:p>
            <w:pPr>
              <w:spacing w:before="122" w:line="226" w:lineRule="auto"/>
              <w:ind w:left="83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2"/>
                <w:sz w:val="23"/>
                <w:szCs w:val="23"/>
              </w:rPr>
              <w:t>暴露部位</w:t>
            </w:r>
          </w:p>
        </w:tc>
        <w:tc>
          <w:tcPr>
            <w:tcW w:w="1860" w:type="dxa"/>
            <w:gridSpan w:val="3"/>
            <w:vAlign w:val="top"/>
          </w:tcPr>
          <w:p>
            <w:pPr>
              <w:spacing w:before="122" w:line="226" w:lineRule="auto"/>
              <w:ind w:left="44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2"/>
                <w:sz w:val="23"/>
                <w:szCs w:val="23"/>
              </w:rPr>
              <w:t>暴露分级</w:t>
            </w:r>
          </w:p>
        </w:tc>
        <w:tc>
          <w:tcPr>
            <w:tcW w:w="2139" w:type="dxa"/>
            <w:gridSpan w:val="3"/>
            <w:vAlign w:val="top"/>
          </w:tcPr>
          <w:p>
            <w:pPr>
              <w:spacing w:before="122" w:line="226" w:lineRule="auto"/>
              <w:ind w:left="58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伤口处理</w:t>
            </w:r>
          </w:p>
        </w:tc>
        <w:tc>
          <w:tcPr>
            <w:tcW w:w="2518" w:type="dxa"/>
            <w:gridSpan w:val="3"/>
            <w:vAlign w:val="top"/>
          </w:tcPr>
          <w:p>
            <w:pPr>
              <w:spacing w:before="122" w:line="226" w:lineRule="auto"/>
              <w:ind w:left="77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疫苗接种</w:t>
            </w:r>
          </w:p>
        </w:tc>
        <w:tc>
          <w:tcPr>
            <w:tcW w:w="1104" w:type="dxa"/>
            <w:vMerge w:val="restart"/>
            <w:tcBorders>
              <w:bottom w:val="nil"/>
            </w:tcBorders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spacing w:before="74" w:line="230" w:lineRule="auto"/>
              <w:ind w:left="18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2"/>
                <w:sz w:val="23"/>
                <w:szCs w:val="23"/>
              </w:rPr>
              <w:t>被动免</w:t>
            </w:r>
          </w:p>
          <w:p>
            <w:pPr>
              <w:spacing w:before="114" w:line="230" w:lineRule="auto"/>
              <w:ind w:left="18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1"/>
                <w:sz w:val="23"/>
                <w:szCs w:val="23"/>
              </w:rPr>
              <w:t>疫制剂</w:t>
            </w:r>
          </w:p>
          <w:p>
            <w:pPr>
              <w:spacing w:before="114" w:line="230" w:lineRule="auto"/>
              <w:ind w:left="31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注射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</w:trPr>
        <w:tc>
          <w:tcPr>
            <w:tcW w:w="8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13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男</w:t>
            </w:r>
          </w:p>
        </w:tc>
        <w:tc>
          <w:tcPr>
            <w:tcW w:w="500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4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女</w:t>
            </w:r>
          </w:p>
        </w:tc>
        <w:tc>
          <w:tcPr>
            <w:tcW w:w="480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12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犬</w:t>
            </w:r>
          </w:p>
        </w:tc>
        <w:tc>
          <w:tcPr>
            <w:tcW w:w="520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4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猫</w:t>
            </w:r>
          </w:p>
        </w:tc>
        <w:tc>
          <w:tcPr>
            <w:tcW w:w="580" w:type="dxa"/>
            <w:textDirection w:val="tbRlV"/>
            <w:vAlign w:val="top"/>
          </w:tcPr>
          <w:p>
            <w:pPr>
              <w:spacing w:before="170" w:line="213" w:lineRule="auto"/>
              <w:ind w:left="5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其</w:t>
            </w:r>
            <w:r>
              <w:rPr>
                <w:rFonts w:ascii="黑体" w:hAnsi="黑体" w:eastAsia="黑体" w:cs="黑体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它</w:t>
            </w:r>
          </w:p>
        </w:tc>
        <w:tc>
          <w:tcPr>
            <w:tcW w:w="640" w:type="dxa"/>
            <w:textDirection w:val="tbRlV"/>
            <w:vAlign w:val="top"/>
          </w:tcPr>
          <w:p>
            <w:pPr>
              <w:spacing w:before="201" w:line="212" w:lineRule="auto"/>
              <w:ind w:left="5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头</w:t>
            </w:r>
            <w:r>
              <w:rPr>
                <w:rFonts w:ascii="黑体" w:hAnsi="黑体" w:eastAsia="黑体" w:cs="黑体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颈</w:t>
            </w:r>
          </w:p>
        </w:tc>
        <w:tc>
          <w:tcPr>
            <w:tcW w:w="700" w:type="dxa"/>
            <w:textDirection w:val="tbRlV"/>
            <w:vAlign w:val="top"/>
          </w:tcPr>
          <w:p>
            <w:pPr>
              <w:spacing w:before="232" w:line="215" w:lineRule="auto"/>
              <w:ind w:left="5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躯</w:t>
            </w:r>
            <w:r>
              <w:rPr>
                <w:rFonts w:ascii="黑体" w:hAnsi="黑体" w:eastAsia="黑体" w:cs="黑体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干</w:t>
            </w:r>
          </w:p>
        </w:tc>
        <w:tc>
          <w:tcPr>
            <w:tcW w:w="600" w:type="dxa"/>
            <w:textDirection w:val="tbRlV"/>
            <w:vAlign w:val="top"/>
          </w:tcPr>
          <w:p>
            <w:pPr>
              <w:spacing w:before="181" w:line="217" w:lineRule="auto"/>
              <w:ind w:left="5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上</w:t>
            </w:r>
            <w:r>
              <w:rPr>
                <w:rFonts w:ascii="黑体" w:hAnsi="黑体" w:eastAsia="黑体" w:cs="黑体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肢</w:t>
            </w:r>
          </w:p>
        </w:tc>
        <w:tc>
          <w:tcPr>
            <w:tcW w:w="700" w:type="dxa"/>
            <w:textDirection w:val="tbRlV"/>
            <w:vAlign w:val="top"/>
          </w:tcPr>
          <w:p>
            <w:pPr>
              <w:spacing w:before="230" w:line="217" w:lineRule="auto"/>
              <w:ind w:left="5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下</w:t>
            </w:r>
            <w:r>
              <w:rPr>
                <w:rFonts w:ascii="黑体" w:hAnsi="黑体" w:eastAsia="黑体" w:cs="黑体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肢</w:t>
            </w:r>
          </w:p>
        </w:tc>
        <w:tc>
          <w:tcPr>
            <w:tcW w:w="600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323" w:lineRule="exact"/>
              <w:ind w:left="21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6"/>
                <w:position w:val="2"/>
                <w:sz w:val="23"/>
                <w:szCs w:val="23"/>
              </w:rPr>
              <w:t>Ⅰ</w:t>
            </w:r>
            <w:r>
              <w:rPr>
                <w:rFonts w:ascii="黑体" w:hAnsi="黑体" w:eastAsia="黑体" w:cs="黑体"/>
                <w:spacing w:val="-6"/>
                <w:position w:val="2"/>
                <w:sz w:val="23"/>
                <w:szCs w:val="23"/>
              </w:rPr>
              <w:t>级</w:t>
            </w:r>
          </w:p>
        </w:tc>
        <w:tc>
          <w:tcPr>
            <w:tcW w:w="580" w:type="dxa"/>
            <w:textDirection w:val="tbRlV"/>
            <w:vAlign w:val="top"/>
          </w:tcPr>
          <w:p>
            <w:pPr>
              <w:spacing w:before="171" w:line="203" w:lineRule="auto"/>
              <w:ind w:left="54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4"/>
                <w:position w:val="2"/>
                <w:sz w:val="23"/>
                <w:szCs w:val="23"/>
              </w:rPr>
              <w:t>Ⅱ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 xml:space="preserve">   </w:t>
            </w:r>
            <w:r>
              <w:rPr>
                <w:rFonts w:ascii="黑体" w:hAnsi="黑体" w:eastAsia="黑体" w:cs="黑体"/>
                <w:spacing w:val="24"/>
                <w:position w:val="-1"/>
                <w:sz w:val="23"/>
                <w:szCs w:val="23"/>
              </w:rPr>
              <w:t>级</w:t>
            </w:r>
          </w:p>
        </w:tc>
        <w:tc>
          <w:tcPr>
            <w:tcW w:w="680" w:type="dxa"/>
            <w:textDirection w:val="tbRlV"/>
            <w:vAlign w:val="top"/>
          </w:tcPr>
          <w:p>
            <w:pPr>
              <w:spacing w:before="221" w:line="212" w:lineRule="auto"/>
              <w:ind w:left="54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9"/>
                <w:w w:val="98"/>
                <w:sz w:val="23"/>
                <w:szCs w:val="23"/>
              </w:rPr>
              <w:t>Ⅲ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 </w:t>
            </w:r>
            <w:r>
              <w:rPr>
                <w:rFonts w:ascii="黑体" w:hAnsi="黑体" w:eastAsia="黑体" w:cs="黑体"/>
                <w:spacing w:val="-9"/>
                <w:w w:val="98"/>
                <w:sz w:val="23"/>
                <w:szCs w:val="23"/>
              </w:rPr>
              <w:t>级</w:t>
            </w:r>
          </w:p>
        </w:tc>
        <w:tc>
          <w:tcPr>
            <w:tcW w:w="620" w:type="dxa"/>
            <w:textDirection w:val="tbRlV"/>
            <w:vAlign w:val="top"/>
          </w:tcPr>
          <w:p>
            <w:pPr>
              <w:spacing w:before="190" w:line="208" w:lineRule="auto"/>
              <w:ind w:left="11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position w:val="1"/>
                <w:sz w:val="23"/>
                <w:szCs w:val="23"/>
              </w:rPr>
              <w:t>自</w:t>
            </w:r>
            <w:r>
              <w:rPr>
                <w:rFonts w:ascii="黑体" w:hAnsi="黑体" w:eastAsia="黑体" w:cs="黑体"/>
                <w:spacing w:val="41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行</w:t>
            </w:r>
            <w:r>
              <w:rPr>
                <w:rFonts w:ascii="黑体" w:hAnsi="黑体" w:eastAsia="黑体" w:cs="黑体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处</w:t>
            </w:r>
            <w:r>
              <w:rPr>
                <w:rFonts w:ascii="黑体" w:hAnsi="黑体" w:eastAsia="黑体" w:cs="黑体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理</w:t>
            </w:r>
          </w:p>
        </w:tc>
        <w:tc>
          <w:tcPr>
            <w:tcW w:w="759" w:type="dxa"/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75" w:line="307" w:lineRule="auto"/>
              <w:ind w:left="138" w:right="136" w:firstLine="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sz w:val="23"/>
                <w:szCs w:val="23"/>
              </w:rPr>
              <w:t>门诊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处理</w:t>
            </w:r>
          </w:p>
        </w:tc>
        <w:tc>
          <w:tcPr>
            <w:tcW w:w="760" w:type="dxa"/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auto"/>
              <w:ind w:left="262" w:right="135" w:hanging="12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未处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>理</w:t>
            </w:r>
          </w:p>
        </w:tc>
        <w:tc>
          <w:tcPr>
            <w:tcW w:w="700" w:type="dxa"/>
            <w:textDirection w:val="tbRlV"/>
            <w:vAlign w:val="top"/>
          </w:tcPr>
          <w:p>
            <w:pPr>
              <w:spacing w:before="231" w:line="215" w:lineRule="auto"/>
              <w:ind w:left="51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全</w:t>
            </w:r>
            <w:r>
              <w:rPr>
                <w:rFonts w:ascii="黑体" w:hAnsi="黑体" w:eastAsia="黑体" w:cs="黑体"/>
                <w:spacing w:val="42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13"/>
                <w:sz w:val="23"/>
                <w:szCs w:val="23"/>
              </w:rPr>
              <w:t>程</w:t>
            </w:r>
          </w:p>
        </w:tc>
        <w:tc>
          <w:tcPr>
            <w:tcW w:w="979" w:type="dxa"/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74" w:line="306" w:lineRule="auto"/>
              <w:ind w:left="249" w:right="120" w:hanging="12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1"/>
                <w:sz w:val="23"/>
                <w:szCs w:val="23"/>
              </w:rPr>
              <w:t>未全程</w:t>
            </w: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接种</w:t>
            </w:r>
          </w:p>
        </w:tc>
        <w:tc>
          <w:tcPr>
            <w:tcW w:w="839" w:type="dxa"/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spacing w:before="74" w:line="306" w:lineRule="auto"/>
              <w:ind w:left="303" w:right="174" w:hanging="123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</w:rPr>
              <w:t>未接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种</w:t>
            </w:r>
          </w:p>
        </w:tc>
        <w:tc>
          <w:tcPr>
            <w:tcW w:w="11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6838" w:h="11906"/>
          <w:pgMar w:top="1011" w:right="1034" w:bottom="1153" w:left="1034" w:header="0" w:footer="877" w:gutter="0"/>
          <w:cols w:space="720" w:num="1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662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3"/>
        <w:sz w:val="28"/>
        <w:szCs w:val="28"/>
      </w:rPr>
      <w:t>—</w:t>
    </w:r>
    <w:r>
      <w:rPr>
        <w:rFonts w:ascii="楷体" w:hAnsi="楷体" w:eastAsia="楷体" w:cs="楷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sz w:val="28"/>
        <w:szCs w:val="28"/>
      </w:rPr>
      <w:t xml:space="preserve">60 </w:t>
    </w:r>
    <w:r>
      <w:rPr>
        <w:rFonts w:ascii="楷体" w:hAnsi="楷体" w:eastAsia="楷体" w:cs="楷体"/>
        <w:spacing w:val="-3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0AC45209"/>
    <w:rsid w:val="0AC4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2024-05-31T03:18:00Z</dcterms:created>
  <dc:creator>王瀚炜</dc:creator>
  <cp:lastModifiedBy>王瀚炜</cp:lastModifiedBy>
  <dcterms:modified xsi:type="dcterms:W3CDTF">2024-05-31T03:19:05Z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FF3390280DFA4908B61CFEF43E90BB33_11</vt:lpwstr>
  </property>
</Properties>
</file>