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F21980">
      <w:pPr>
        <w:rPr>
          <w:rFonts w:hint="eastAsia"/>
          <w:sz w:val="28"/>
          <w:szCs w:val="28"/>
          <w:lang w:val="en-US" w:eastAsia="zh-CN"/>
        </w:rPr>
      </w:pPr>
      <w:r>
        <w:rPr>
          <w:rFonts w:hint="eastAsia"/>
          <w:sz w:val="28"/>
          <w:szCs w:val="28"/>
          <w:lang w:val="en-US" w:eastAsia="zh-CN"/>
        </w:rPr>
        <w:t>附件1</w:t>
      </w:r>
    </w:p>
    <w:p w14:paraId="4DE4E74E">
      <w:pPr>
        <w:numPr>
          <w:ilvl w:val="0"/>
          <w:numId w:val="0"/>
        </w:numPr>
        <w:spacing w:line="360" w:lineRule="auto"/>
        <w:ind w:leftChars="0"/>
        <w:rPr>
          <w:rFonts w:hint="eastAsia" w:ascii="宋体" w:hAnsi="宋体" w:eastAsia="宋体" w:cs="宋体"/>
          <w:b/>
          <w:bCs/>
          <w:kern w:val="2"/>
          <w:sz w:val="28"/>
          <w:szCs w:val="36"/>
          <w:lang w:val="en-US" w:eastAsia="zh-CN" w:bidi="ar-SA"/>
        </w:rPr>
      </w:pPr>
      <w:r>
        <w:rPr>
          <w:rFonts w:hint="eastAsia" w:ascii="宋体" w:hAnsi="宋体" w:eastAsia="宋体" w:cs="宋体"/>
          <w:b/>
          <w:bCs/>
          <w:kern w:val="2"/>
          <w:sz w:val="28"/>
          <w:szCs w:val="36"/>
          <w:lang w:val="en-US" w:eastAsia="zh-CN" w:bidi="ar-SA"/>
        </w:rPr>
        <w:t>一、户外宣传需求</w:t>
      </w:r>
    </w:p>
    <w:p w14:paraId="0E795F9D">
      <w:pPr>
        <w:numPr>
          <w:ilvl w:val="0"/>
          <w:numId w:val="1"/>
        </w:numPr>
        <w:spacing w:line="360" w:lineRule="auto"/>
        <w:ind w:left="425" w:leftChars="0" w:hanging="425" w:firstLineChars="0"/>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闽江之心户外大屏宣传</w:t>
      </w:r>
    </w:p>
    <w:p w14:paraId="1279D74F">
      <w:pPr>
        <w:numPr>
          <w:ilvl w:val="0"/>
          <w:numId w:val="2"/>
        </w:numPr>
        <w:spacing w:line="360" w:lineRule="auto"/>
        <w:ind w:left="425" w:leftChars="0" w:hanging="425" w:firstLineChars="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内容形式：科普海报（镶嵌视频二维码）。</w:t>
      </w:r>
    </w:p>
    <w:p w14:paraId="3AF74E8E">
      <w:pPr>
        <w:numPr>
          <w:ilvl w:val="0"/>
          <w:numId w:val="2"/>
        </w:numPr>
        <w:spacing w:line="360" w:lineRule="auto"/>
        <w:ind w:left="425" w:leftChars="0" w:hanging="425" w:firstLineChars="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时间安排：根据国内外病媒传染性疾病输入高风险季节，适时投播大屏一周。</w:t>
      </w:r>
    </w:p>
    <w:p w14:paraId="046532A3">
      <w:pPr>
        <w:numPr>
          <w:ilvl w:val="0"/>
          <w:numId w:val="0"/>
        </w:numPr>
        <w:spacing w:line="360" w:lineRule="auto"/>
        <w:ind w:leftChars="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w:t>
      </w:r>
      <w:r>
        <w:rPr>
          <w:rFonts w:hint="default" w:ascii="宋体" w:hAnsi="宋体" w:eastAsia="宋体" w:cs="宋体"/>
          <w:b w:val="0"/>
          <w:bCs w:val="0"/>
          <w:color w:val="auto"/>
          <w:sz w:val="24"/>
          <w:szCs w:val="24"/>
          <w:lang w:val="en-US" w:eastAsia="zh-CN"/>
        </w:rPr>
        <w:drawing>
          <wp:inline distT="0" distB="0" distL="114300" distR="114300">
            <wp:extent cx="3284220" cy="2158365"/>
            <wp:effectExtent l="0" t="0" r="11430" b="13335"/>
            <wp:docPr id="3" name="图片 3" descr="f702508806235994057baabda0c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702508806235994057baabda0c8574"/>
                    <pic:cNvPicPr>
                      <a:picLocks noChangeAspect="1"/>
                    </pic:cNvPicPr>
                  </pic:nvPicPr>
                  <pic:blipFill>
                    <a:blip r:embed="rId4"/>
                    <a:srcRect l="3320" t="9560" r="5351" b="10407"/>
                    <a:stretch>
                      <a:fillRect/>
                    </a:stretch>
                  </pic:blipFill>
                  <pic:spPr>
                    <a:xfrm>
                      <a:off x="0" y="0"/>
                      <a:ext cx="3284220" cy="2158365"/>
                    </a:xfrm>
                    <a:prstGeom prst="rect">
                      <a:avLst/>
                    </a:prstGeom>
                  </pic:spPr>
                </pic:pic>
              </a:graphicData>
            </a:graphic>
          </wp:inline>
        </w:drawing>
      </w:r>
    </w:p>
    <w:p w14:paraId="20C57E69">
      <w:pPr>
        <w:numPr>
          <w:ilvl w:val="0"/>
          <w:numId w:val="1"/>
        </w:numPr>
        <w:spacing w:line="360" w:lineRule="auto"/>
        <w:ind w:left="425" w:leftChars="0" w:hanging="425" w:firstLineChars="0"/>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社区灯箱</w:t>
      </w:r>
    </w:p>
    <w:p w14:paraId="37A5CB9A">
      <w:pPr>
        <w:numPr>
          <w:ilvl w:val="0"/>
          <w:numId w:val="3"/>
        </w:numPr>
        <w:spacing w:line="360" w:lineRule="auto"/>
        <w:ind w:left="425" w:leftChars="0" w:hanging="425" w:firstLineChars="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内容形式：选择市区人口密集住宅区共计20个点位的灯箱进行海报宣传（根据实际情况选择）。</w:t>
      </w:r>
    </w:p>
    <w:p w14:paraId="60E4D2E5">
      <w:pPr>
        <w:numPr>
          <w:ilvl w:val="0"/>
          <w:numId w:val="0"/>
        </w:numPr>
        <w:spacing w:line="360" w:lineRule="auto"/>
        <w:ind w:left="420" w:leftChars="0"/>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海报</w:t>
      </w:r>
      <w:r>
        <w:rPr>
          <w:rFonts w:hint="eastAsia" w:ascii="宋体" w:hAnsi="宋体" w:eastAsia="宋体" w:cs="宋体"/>
          <w:b w:val="0"/>
          <w:bCs w:val="0"/>
          <w:color w:val="auto"/>
          <w:sz w:val="24"/>
          <w:szCs w:val="24"/>
          <w:lang w:val="en-US" w:eastAsia="zh-CN"/>
        </w:rPr>
        <w:t>设计</w:t>
      </w:r>
      <w:r>
        <w:rPr>
          <w:rFonts w:hint="default" w:ascii="宋体" w:hAnsi="宋体" w:eastAsia="宋体" w:cs="宋体"/>
          <w:b w:val="0"/>
          <w:bCs w:val="0"/>
          <w:color w:val="auto"/>
          <w:sz w:val="24"/>
          <w:szCs w:val="24"/>
          <w:lang w:val="en-US" w:eastAsia="zh-CN"/>
        </w:rPr>
        <w:t>：突出“</w:t>
      </w:r>
      <w:r>
        <w:rPr>
          <w:rFonts w:hint="eastAsia" w:ascii="宋体" w:hAnsi="宋体" w:eastAsia="宋体" w:cs="宋体"/>
          <w:b w:val="0"/>
          <w:bCs w:val="0"/>
          <w:color w:val="auto"/>
          <w:sz w:val="24"/>
          <w:szCs w:val="24"/>
          <w:lang w:val="en-US" w:eastAsia="zh-CN"/>
        </w:rPr>
        <w:t>病媒生物传播途径、预防控制方式”等</w:t>
      </w:r>
      <w:r>
        <w:rPr>
          <w:rFonts w:hint="default" w:ascii="宋体" w:hAnsi="宋体" w:eastAsia="宋体" w:cs="宋体"/>
          <w:b w:val="0"/>
          <w:bCs w:val="0"/>
          <w:color w:val="auto"/>
          <w:sz w:val="24"/>
          <w:szCs w:val="24"/>
          <w:lang w:val="en-US" w:eastAsia="zh-CN"/>
        </w:rPr>
        <w:t>的图文设计。</w:t>
      </w:r>
    </w:p>
    <w:p w14:paraId="7B900F61">
      <w:pPr>
        <w:numPr>
          <w:ilvl w:val="0"/>
          <w:numId w:val="3"/>
        </w:numPr>
        <w:spacing w:line="360" w:lineRule="auto"/>
        <w:ind w:left="425" w:leftChars="0" w:hanging="425" w:firstLineChars="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时间安排：根据国内外病媒传染性疾病输入高风险季节，适时投放一个月。</w:t>
      </w:r>
    </w:p>
    <w:p w14:paraId="4B503981">
      <w:pPr>
        <w:numPr>
          <w:ilvl w:val="0"/>
          <w:numId w:val="0"/>
        </w:numPr>
        <w:spacing w:line="360" w:lineRule="auto"/>
        <w:ind w:leftChars="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663825" cy="2851785"/>
            <wp:effectExtent l="0" t="0" r="3175" b="5715"/>
            <wp:docPr id="6" name="图片 6" descr="174442797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4427973767"/>
                    <pic:cNvPicPr>
                      <a:picLocks noChangeAspect="1"/>
                    </pic:cNvPicPr>
                  </pic:nvPicPr>
                  <pic:blipFill>
                    <a:blip r:embed="rId5"/>
                    <a:srcRect l="20455" t="5082" r="6178" b="-1224"/>
                    <a:stretch>
                      <a:fillRect/>
                    </a:stretch>
                  </pic:blipFill>
                  <pic:spPr>
                    <a:xfrm>
                      <a:off x="0" y="0"/>
                      <a:ext cx="2663825" cy="2851785"/>
                    </a:xfrm>
                    <a:prstGeom prst="rect">
                      <a:avLst/>
                    </a:prstGeom>
                  </pic:spPr>
                </pic:pic>
              </a:graphicData>
            </a:graphic>
          </wp:inline>
        </w:drawing>
      </w:r>
      <w:r>
        <w:rPr>
          <w:rFonts w:hint="eastAsia" w:ascii="宋体" w:hAnsi="宋体" w:eastAsia="宋体" w:cs="宋体"/>
          <w:b w:val="0"/>
          <w:bCs w:val="0"/>
          <w:color w:val="auto"/>
          <w:sz w:val="24"/>
          <w:szCs w:val="24"/>
          <w:lang w:val="en-US" w:eastAsia="zh-CN"/>
        </w:rPr>
        <w:t xml:space="preserve">  </w:t>
      </w:r>
      <w:r>
        <w:rPr>
          <w:rFonts w:hint="default" w:ascii="宋体" w:hAnsi="宋体" w:eastAsia="宋体" w:cs="宋体"/>
          <w:b w:val="0"/>
          <w:bCs w:val="0"/>
          <w:color w:val="auto"/>
          <w:sz w:val="24"/>
          <w:szCs w:val="24"/>
          <w:lang w:val="en-US" w:eastAsia="zh-CN"/>
        </w:rPr>
        <w:drawing>
          <wp:inline distT="0" distB="0" distL="114300" distR="114300">
            <wp:extent cx="2369185" cy="2866390"/>
            <wp:effectExtent l="0" t="0" r="12065" b="10160"/>
            <wp:docPr id="7" name="图片 7" descr="174443159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4431591235"/>
                    <pic:cNvPicPr>
                      <a:picLocks noChangeAspect="1"/>
                    </pic:cNvPicPr>
                  </pic:nvPicPr>
                  <pic:blipFill>
                    <a:blip r:embed="rId6"/>
                    <a:stretch>
                      <a:fillRect/>
                    </a:stretch>
                  </pic:blipFill>
                  <pic:spPr>
                    <a:xfrm>
                      <a:off x="0" y="0"/>
                      <a:ext cx="2369185" cy="2866390"/>
                    </a:xfrm>
                    <a:prstGeom prst="rect">
                      <a:avLst/>
                    </a:prstGeom>
                  </pic:spPr>
                </pic:pic>
              </a:graphicData>
            </a:graphic>
          </wp:inline>
        </w:drawing>
      </w:r>
    </w:p>
    <w:p w14:paraId="74CE24B3">
      <w:pPr>
        <w:numPr>
          <w:ilvl w:val="0"/>
          <w:numId w:val="4"/>
        </w:numPr>
        <w:spacing w:line="360" w:lineRule="auto"/>
        <w:ind w:left="0" w:leftChars="0" w:firstLine="0" w:firstLineChars="0"/>
        <w:rPr>
          <w:rFonts w:hint="default"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线上宣传</w:t>
      </w:r>
    </w:p>
    <w:p w14:paraId="61833860">
      <w:pPr>
        <w:numPr>
          <w:ilvl w:val="0"/>
          <w:numId w:val="5"/>
        </w:numPr>
        <w:spacing w:line="360" w:lineRule="auto"/>
        <w:ind w:left="425" w:leftChars="0" w:hanging="425" w:firstLineChars="0"/>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15秒空拍视频：针对</w:t>
      </w:r>
      <w:r>
        <w:rPr>
          <w:rFonts w:hint="default" w:ascii="宋体" w:hAnsi="宋体" w:eastAsia="宋体" w:cs="宋体"/>
          <w:b w:val="0"/>
          <w:bCs w:val="0"/>
          <w:color w:val="auto"/>
          <w:sz w:val="24"/>
          <w:szCs w:val="32"/>
          <w:lang w:val="en-US" w:eastAsia="zh-CN"/>
        </w:rPr>
        <w:t>闽江之心户外LED大屏播放的宣传海报拍摄一个15秒的空飞视频，含夜景及多角度视觉。</w:t>
      </w:r>
    </w:p>
    <w:p w14:paraId="7599E7D9">
      <w:pPr>
        <w:numPr>
          <w:ilvl w:val="0"/>
          <w:numId w:val="5"/>
        </w:numPr>
        <w:spacing w:line="360" w:lineRule="auto"/>
        <w:ind w:left="425" w:leftChars="0" w:hanging="425" w:firstLineChars="0"/>
        <w:rPr>
          <w:rFonts w:hint="default"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网站推文1期：在市级及以上新闻单位网页发布宣传推文1条。</w:t>
      </w:r>
    </w:p>
    <w:p w14:paraId="4BFE7BB3">
      <w:pPr>
        <w:numPr>
          <w:ilvl w:val="0"/>
          <w:numId w:val="5"/>
        </w:numPr>
        <w:spacing w:line="360" w:lineRule="auto"/>
        <w:ind w:left="425" w:leftChars="0" w:hanging="425" w:firstLineChars="0"/>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抖音号发布1期：市级及以上官方媒体平台，粉丝数500万以上抖音号发布科普视频1期。</w:t>
      </w:r>
    </w:p>
    <w:p w14:paraId="0F35E0CA">
      <w:pPr>
        <w:numPr>
          <w:ilvl w:val="0"/>
          <w:numId w:val="4"/>
        </w:numPr>
        <w:spacing w:line="360" w:lineRule="auto"/>
        <w:ind w:left="0" w:leftChars="0" w:firstLine="0" w:firstLineChars="0"/>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宣传亮点</w:t>
      </w:r>
    </w:p>
    <w:p w14:paraId="549433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MG动画通过生动影像能够传达直观的科普信息，制作完成后可在医院、社区卫生服务中心候诊区循环播放，精准触达易感人群，强化行为引导，提升知识传播效率。</w:t>
      </w:r>
    </w:p>
    <w:p w14:paraId="34E768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线下渠道投放依托“闽江之心”地标性大屏强化视觉冲击+社区灯箱高频度渗透居民生活，同时线上通过市级及以上级官方主流媒体500万粉丝以上抖音号播放科普视频，多场景、多渠道覆盖群众生活，营造立体化、常态化防控氛围，助力文明城市创建。</w:t>
      </w:r>
    </w:p>
    <w:p w14:paraId="58F01733">
      <w:pPr>
        <w:pStyle w:val="3"/>
        <w:widowControl/>
        <w:spacing w:beforeAutospacing="0" w:after="0" w:afterAutospacing="0" w:line="27" w:lineRule="atLeast"/>
        <w:ind w:left="0" w:right="0" w:firstLine="0"/>
        <w:jc w:val="both"/>
        <w:rPr>
          <w:rFonts w:hint="eastAsia" w:ascii="宋体" w:hAnsi="宋体" w:eastAsia="宋体" w:cs="宋体"/>
          <w:b/>
          <w:bCs/>
          <w:kern w:val="2"/>
          <w:sz w:val="28"/>
          <w:szCs w:val="36"/>
          <w:lang w:val="en-US" w:eastAsia="zh-CN" w:bidi="ar-SA"/>
        </w:rPr>
      </w:pPr>
      <w:r>
        <w:rPr>
          <w:rFonts w:hint="eastAsia" w:ascii="宋体" w:hAnsi="宋体" w:eastAsia="宋体" w:cs="宋体"/>
          <w:b/>
          <w:bCs/>
          <w:kern w:val="2"/>
          <w:sz w:val="28"/>
          <w:szCs w:val="36"/>
          <w:lang w:val="en-US" w:eastAsia="zh-CN" w:bidi="ar-SA"/>
        </w:rPr>
        <w:t>二、项目技术要求</w:t>
      </w:r>
    </w:p>
    <w:p w14:paraId="2118B5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1.围绕病媒生物</w:t>
      </w:r>
      <w:r>
        <w:rPr>
          <w:rFonts w:hint="eastAsia" w:ascii="宋体" w:hAnsi="宋体" w:eastAsia="宋体" w:cs="宋体"/>
          <w:b w:val="0"/>
          <w:bCs w:val="0"/>
          <w:color w:val="auto"/>
          <w:sz w:val="24"/>
          <w:szCs w:val="24"/>
          <w:lang w:val="en-US" w:eastAsia="zh-CN"/>
        </w:rPr>
        <w:t>防制</w:t>
      </w:r>
      <w:r>
        <w:rPr>
          <w:rFonts w:hint="default" w:ascii="宋体" w:hAnsi="宋体" w:eastAsia="宋体" w:cs="宋体"/>
          <w:b w:val="0"/>
          <w:bCs w:val="0"/>
          <w:color w:val="auto"/>
          <w:sz w:val="24"/>
          <w:szCs w:val="24"/>
          <w:lang w:val="en-US" w:eastAsia="zh-CN"/>
        </w:rPr>
        <w:t>为主题制作健康科普MG动画，以原创动画形式(非素材拼接类)进行创意创作，不得抄袭，动画时长3分钟正负15秒。</w:t>
      </w:r>
    </w:p>
    <w:p w14:paraId="4E26E4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2.视频应含字幕、配音、背景音乐音效等，配音生动活泼、具有亲和力和感染力，能够清晰准确表达主题，并提供相关配音人员普通话一级乙等或以上证书。</w:t>
      </w:r>
    </w:p>
    <w:p w14:paraId="2C6E80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3.供应商负责文稿撰写、动画制作设计，文稿及视频成片需经由采购人审核同意，方可进行后续工作。</w:t>
      </w:r>
    </w:p>
    <w:p w14:paraId="045F0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4.制作要求：后期制作包装内容需原创、按本中心要求定制。</w:t>
      </w:r>
    </w:p>
    <w:p w14:paraId="01D05B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5.技术要求：符合电视播出标准，视频分辨率1920*1080,视频帧率25帧/秒,MOV或MP4 视频格式，整体表现流畅，杜绝坏帧、卡帧。</w:t>
      </w:r>
    </w:p>
    <w:p w14:paraId="0B95D6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6.闽江之心户外LED大屏播放15秒宣传海报，LED屏A面13.31m*5.12m</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B面6.4m*5.12m</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C面7.68m*5.12m</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三面为一个整体，合计面积不低于140㎡，每天播放不低于120次，播放1周。</w:t>
      </w:r>
    </w:p>
    <w:p w14:paraId="638BE1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w:t>
      </w:r>
      <w:r>
        <w:rPr>
          <w:rFonts w:hint="default" w:ascii="宋体" w:hAnsi="宋体" w:eastAsia="宋体" w:cs="宋体"/>
          <w:b w:val="0"/>
          <w:bCs w:val="0"/>
          <w:color w:val="auto"/>
          <w:sz w:val="24"/>
          <w:szCs w:val="24"/>
          <w:lang w:val="en-US" w:eastAsia="zh-CN"/>
        </w:rPr>
        <w:t>针对闽江之心户外LED大屏播放的宣传海报拍摄一个15秒的空飞视频，含夜景及多角度视觉。</w:t>
      </w:r>
    </w:p>
    <w:p w14:paraId="100FF4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w:t>
      </w:r>
      <w:r>
        <w:rPr>
          <w:rFonts w:hint="default" w:ascii="宋体" w:hAnsi="宋体" w:eastAsia="宋体" w:cs="宋体"/>
          <w:b w:val="0"/>
          <w:bCs w:val="0"/>
          <w:color w:val="auto"/>
          <w:sz w:val="24"/>
          <w:szCs w:val="24"/>
          <w:lang w:val="en-US" w:eastAsia="zh-CN"/>
        </w:rPr>
        <w:t>投放</w:t>
      </w:r>
      <w:r>
        <w:rPr>
          <w:rFonts w:hint="eastAsia" w:ascii="宋体" w:hAnsi="宋体" w:eastAsia="宋体" w:cs="宋体"/>
          <w:b w:val="0"/>
          <w:bCs w:val="0"/>
          <w:color w:val="auto"/>
          <w:sz w:val="24"/>
          <w:szCs w:val="24"/>
          <w:lang w:val="en-US" w:eastAsia="zh-CN"/>
        </w:rPr>
        <w:t>20</w:t>
      </w:r>
      <w:r>
        <w:rPr>
          <w:rFonts w:hint="default" w:ascii="宋体" w:hAnsi="宋体" w:eastAsia="宋体" w:cs="宋体"/>
          <w:b w:val="0"/>
          <w:bCs w:val="0"/>
          <w:color w:val="auto"/>
          <w:sz w:val="24"/>
          <w:szCs w:val="24"/>
          <w:lang w:val="en-US" w:eastAsia="zh-CN"/>
        </w:rPr>
        <w:t>面社区灯箱用作科普宣传，灯箱播放画面15秒滚动一次，每日播放频次150次，连续投放1个月。</w:t>
      </w:r>
    </w:p>
    <w:p w14:paraId="207371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9</w:t>
      </w:r>
      <w:r>
        <w:rPr>
          <w:rFonts w:hint="default" w:ascii="宋体" w:hAnsi="宋体" w:eastAsia="宋体" w:cs="宋体"/>
          <w:b w:val="0"/>
          <w:bCs w:val="0"/>
          <w:color w:val="auto"/>
          <w:sz w:val="24"/>
          <w:szCs w:val="24"/>
          <w:lang w:val="en-US" w:eastAsia="zh-CN"/>
        </w:rPr>
        <w:t>.在市级及以上新闻单位网页发布宣传推文1条。</w:t>
      </w:r>
    </w:p>
    <w:p w14:paraId="4565AB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10.</w:t>
      </w:r>
      <w:r>
        <w:rPr>
          <w:rFonts w:hint="default" w:ascii="宋体" w:hAnsi="宋体" w:eastAsia="宋体" w:cs="宋体"/>
          <w:b w:val="0"/>
          <w:bCs w:val="0"/>
          <w:color w:val="auto"/>
          <w:sz w:val="24"/>
          <w:szCs w:val="24"/>
          <w:lang w:val="en-US" w:eastAsia="zh-CN"/>
        </w:rPr>
        <w:t>项目执行过程中如有变化，须及时与采购人协商，经采购人同意后，方可变更。</w:t>
      </w:r>
    </w:p>
    <w:p w14:paraId="05A743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11.</w:t>
      </w:r>
      <w:r>
        <w:rPr>
          <w:rFonts w:hint="default" w:ascii="宋体" w:hAnsi="宋体" w:eastAsia="宋体" w:cs="宋体"/>
          <w:b w:val="0"/>
          <w:bCs w:val="0"/>
          <w:color w:val="auto"/>
          <w:sz w:val="24"/>
          <w:szCs w:val="24"/>
          <w:lang w:val="en-US" w:eastAsia="zh-CN"/>
        </w:rPr>
        <w:t>本次项目所制作的宣传片版权和使用权归福州市疾病预防控制中心所有。</w:t>
      </w:r>
    </w:p>
    <w:p w14:paraId="793AA9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2</w:t>
      </w:r>
      <w:r>
        <w:rPr>
          <w:rFonts w:hint="default" w:ascii="宋体" w:hAnsi="宋体" w:eastAsia="宋体" w:cs="宋体"/>
          <w:b w:val="0"/>
          <w:bCs w:val="0"/>
          <w:color w:val="auto"/>
          <w:sz w:val="24"/>
          <w:szCs w:val="24"/>
          <w:lang w:val="en-US" w:eastAsia="zh-CN"/>
        </w:rPr>
        <w:t>.须承诺视频制作完成后三年内（以验收时间为准）根据采购人的需求对视频进行剪辑等后续服务，提供承诺函。</w:t>
      </w:r>
    </w:p>
    <w:p w14:paraId="62DE7B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3</w:t>
      </w:r>
      <w:r>
        <w:rPr>
          <w:rFonts w:hint="default" w:ascii="宋体" w:hAnsi="宋体" w:eastAsia="宋体" w:cs="宋体"/>
          <w:b w:val="0"/>
          <w:bCs w:val="0"/>
          <w:color w:val="auto"/>
          <w:sz w:val="24"/>
          <w:szCs w:val="24"/>
          <w:lang w:val="en-US" w:eastAsia="zh-CN"/>
        </w:rPr>
        <w:t>.资质要求：供应商针对本项目配置服务团队成员中须有动画制作领域的专业人员配置，须提供相关专业资格证书或者相关从业履历证明材料。</w:t>
      </w:r>
    </w:p>
    <w:p w14:paraId="06433DFD">
      <w:pPr>
        <w:pStyle w:val="3"/>
        <w:widowControl/>
        <w:spacing w:beforeAutospacing="0" w:after="0" w:afterAutospacing="0" w:line="27" w:lineRule="atLeast"/>
        <w:ind w:left="0" w:right="0" w:firstLine="562" w:firstLineChars="200"/>
        <w:jc w:val="both"/>
        <w:rPr>
          <w:rFonts w:hint="eastAsia" w:ascii="宋体" w:hAnsi="宋体" w:eastAsia="宋体" w:cs="宋体"/>
          <w:b/>
          <w:bCs/>
          <w:kern w:val="2"/>
          <w:sz w:val="28"/>
          <w:szCs w:val="36"/>
          <w:lang w:val="en-US" w:eastAsia="zh-CN" w:bidi="ar-SA"/>
        </w:rPr>
      </w:pPr>
      <w:r>
        <w:rPr>
          <w:rFonts w:hint="eastAsia" w:ascii="宋体" w:hAnsi="宋体" w:eastAsia="宋体" w:cs="宋体"/>
          <w:b/>
          <w:bCs/>
          <w:kern w:val="2"/>
          <w:sz w:val="28"/>
          <w:szCs w:val="36"/>
          <w:lang w:val="en-US" w:eastAsia="zh-CN" w:bidi="ar-SA"/>
        </w:rPr>
        <w:t>三、项目商务要求</w:t>
      </w:r>
    </w:p>
    <w:p w14:paraId="0A2DF2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1.项目须于2025年8月30日前制作完成并通过采购人验收。</w:t>
      </w:r>
    </w:p>
    <w:p w14:paraId="2DC8E5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color w:val="auto"/>
          <w:sz w:val="24"/>
          <w:szCs w:val="24"/>
          <w:lang w:val="en-US" w:eastAsia="zh-CN"/>
        </w:rPr>
        <w:t>2.合同签订后，支付合同总金额的 30.00%，所有项目要求内容完成并经验收合格后，支付合同总金额的70.00%。</w:t>
      </w:r>
    </w:p>
    <w:p w14:paraId="4F84C180">
      <w:pPr>
        <w:numPr>
          <w:ilvl w:val="0"/>
          <w:numId w:val="0"/>
        </w:numPr>
        <w:spacing w:line="360" w:lineRule="auto"/>
        <w:ind w:leftChars="0"/>
        <w:jc w:val="left"/>
        <w:rPr>
          <w:rFonts w:hint="default" w:ascii="华文仿宋" w:hAnsi="华文仿宋" w:eastAsia="华文仿宋" w:cs="华文仿宋"/>
          <w:b/>
          <w:bCs/>
          <w:sz w:val="28"/>
          <w:szCs w:val="36"/>
          <w:lang w:val="en-US" w:eastAsia="zh-CN"/>
        </w:rPr>
      </w:pPr>
      <w:r>
        <w:rPr>
          <w:rFonts w:hint="eastAsia" w:ascii="宋体" w:hAnsi="宋体" w:eastAsia="宋体" w:cs="宋体"/>
          <w:b/>
          <w:bCs/>
          <w:kern w:val="2"/>
          <w:sz w:val="28"/>
          <w:szCs w:val="36"/>
          <w:lang w:val="en-US" w:eastAsia="zh-CN" w:bidi="ar-SA"/>
        </w:rPr>
        <w:t>四、项目预算</w:t>
      </w:r>
    </w:p>
    <w:tbl>
      <w:tblPr>
        <w:tblStyle w:val="4"/>
        <w:tblW w:w="9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2203"/>
        <w:gridCol w:w="970"/>
        <w:gridCol w:w="970"/>
        <w:gridCol w:w="1000"/>
        <w:gridCol w:w="1280"/>
        <w:gridCol w:w="1950"/>
      </w:tblGrid>
      <w:tr w14:paraId="1138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318" w:type="dxa"/>
            <w:vAlign w:val="center"/>
          </w:tcPr>
          <w:p w14:paraId="73766235">
            <w:pPr>
              <w:spacing w:line="360" w:lineRule="auto"/>
              <w:jc w:val="center"/>
              <w:rPr>
                <w:rFonts w:hint="default"/>
                <w:color w:val="auto"/>
                <w:sz w:val="24"/>
                <w:szCs w:val="24"/>
                <w:lang w:val="en-US" w:eastAsia="zh-CN"/>
              </w:rPr>
            </w:pPr>
            <w:r>
              <w:rPr>
                <w:rFonts w:hint="eastAsia"/>
                <w:color w:val="auto"/>
                <w:sz w:val="24"/>
                <w:szCs w:val="24"/>
                <w:lang w:val="en-US" w:eastAsia="zh-CN"/>
              </w:rPr>
              <w:t>名称</w:t>
            </w:r>
          </w:p>
        </w:tc>
        <w:tc>
          <w:tcPr>
            <w:tcW w:w="2203" w:type="dxa"/>
            <w:vAlign w:val="center"/>
          </w:tcPr>
          <w:p w14:paraId="0280A99B">
            <w:pPr>
              <w:spacing w:line="360" w:lineRule="auto"/>
              <w:jc w:val="center"/>
              <w:rPr>
                <w:rFonts w:hint="eastAsia" w:eastAsiaTheme="minorEastAsia"/>
                <w:color w:val="auto"/>
                <w:sz w:val="24"/>
                <w:szCs w:val="24"/>
                <w:lang w:eastAsia="zh-CN"/>
              </w:rPr>
            </w:pPr>
            <w:r>
              <w:rPr>
                <w:rFonts w:hint="eastAsia"/>
                <w:color w:val="auto"/>
                <w:sz w:val="24"/>
                <w:szCs w:val="24"/>
                <w:lang w:val="en-US" w:eastAsia="zh-CN"/>
              </w:rPr>
              <w:t>服务内容</w:t>
            </w:r>
          </w:p>
        </w:tc>
        <w:tc>
          <w:tcPr>
            <w:tcW w:w="970" w:type="dxa"/>
            <w:vAlign w:val="center"/>
          </w:tcPr>
          <w:p w14:paraId="29E83507">
            <w:pPr>
              <w:spacing w:line="360" w:lineRule="auto"/>
              <w:jc w:val="center"/>
              <w:rPr>
                <w:rFonts w:hint="eastAsia"/>
                <w:color w:val="auto"/>
                <w:sz w:val="24"/>
                <w:szCs w:val="24"/>
                <w:lang w:eastAsia="zh-CN"/>
              </w:rPr>
            </w:pPr>
            <w:r>
              <w:rPr>
                <w:rFonts w:hint="eastAsia"/>
                <w:color w:val="auto"/>
                <w:sz w:val="24"/>
                <w:szCs w:val="24"/>
                <w:lang w:eastAsia="zh-CN"/>
              </w:rPr>
              <w:t>数量</w:t>
            </w:r>
          </w:p>
        </w:tc>
        <w:tc>
          <w:tcPr>
            <w:tcW w:w="970" w:type="dxa"/>
            <w:vAlign w:val="center"/>
          </w:tcPr>
          <w:p w14:paraId="62F3F7D3">
            <w:pPr>
              <w:spacing w:line="360" w:lineRule="auto"/>
              <w:jc w:val="center"/>
              <w:rPr>
                <w:rFonts w:hint="default"/>
                <w:color w:val="auto"/>
                <w:sz w:val="24"/>
                <w:szCs w:val="24"/>
                <w:lang w:val="en-US" w:eastAsia="zh-CN"/>
              </w:rPr>
            </w:pPr>
            <w:r>
              <w:rPr>
                <w:rFonts w:hint="eastAsia"/>
                <w:color w:val="auto"/>
                <w:sz w:val="24"/>
                <w:szCs w:val="24"/>
                <w:lang w:val="en-US" w:eastAsia="zh-CN"/>
              </w:rPr>
              <w:t>时长</w:t>
            </w:r>
          </w:p>
        </w:tc>
        <w:tc>
          <w:tcPr>
            <w:tcW w:w="1000" w:type="dxa"/>
            <w:vAlign w:val="center"/>
          </w:tcPr>
          <w:p w14:paraId="4ED65698">
            <w:pPr>
              <w:spacing w:line="360" w:lineRule="auto"/>
              <w:jc w:val="center"/>
              <w:rPr>
                <w:rFonts w:hint="eastAsia" w:eastAsiaTheme="minorEastAsia"/>
                <w:color w:val="auto"/>
                <w:sz w:val="24"/>
                <w:szCs w:val="24"/>
                <w:lang w:eastAsia="zh-CN"/>
              </w:rPr>
            </w:pPr>
            <w:r>
              <w:rPr>
                <w:rFonts w:hint="eastAsia"/>
                <w:color w:val="auto"/>
                <w:sz w:val="24"/>
                <w:szCs w:val="24"/>
                <w:lang w:eastAsia="zh-CN"/>
              </w:rPr>
              <w:t>单价</w:t>
            </w:r>
            <w:r>
              <w:rPr>
                <w:rFonts w:hint="eastAsia"/>
                <w:color w:val="auto"/>
                <w:sz w:val="24"/>
                <w:szCs w:val="24"/>
                <w:lang w:eastAsia="zh-CN"/>
              </w:rPr>
              <w:br w:type="textWrapping"/>
            </w:r>
            <w:r>
              <w:rPr>
                <w:rFonts w:hint="eastAsia"/>
                <w:color w:val="auto"/>
                <w:sz w:val="24"/>
                <w:szCs w:val="24"/>
                <w:lang w:eastAsia="zh-CN"/>
              </w:rPr>
              <w:t>（</w:t>
            </w:r>
            <w:r>
              <w:rPr>
                <w:rFonts w:hint="eastAsia"/>
                <w:color w:val="auto"/>
                <w:sz w:val="24"/>
                <w:szCs w:val="24"/>
                <w:lang w:val="en-US" w:eastAsia="zh-CN"/>
              </w:rPr>
              <w:t>元</w:t>
            </w:r>
            <w:r>
              <w:rPr>
                <w:rFonts w:hint="eastAsia"/>
                <w:color w:val="auto"/>
                <w:sz w:val="24"/>
                <w:szCs w:val="24"/>
                <w:lang w:eastAsia="zh-CN"/>
              </w:rPr>
              <w:t>）</w:t>
            </w:r>
          </w:p>
        </w:tc>
        <w:tc>
          <w:tcPr>
            <w:tcW w:w="1280" w:type="dxa"/>
            <w:vAlign w:val="center"/>
          </w:tcPr>
          <w:p w14:paraId="2C196BAE">
            <w:pPr>
              <w:spacing w:line="360" w:lineRule="auto"/>
              <w:jc w:val="center"/>
              <w:rPr>
                <w:rFonts w:hint="default" w:eastAsiaTheme="minorEastAsia"/>
                <w:color w:val="auto"/>
                <w:sz w:val="24"/>
                <w:szCs w:val="24"/>
                <w:lang w:val="en-US" w:eastAsia="zh-CN"/>
              </w:rPr>
            </w:pPr>
            <w:r>
              <w:rPr>
                <w:rFonts w:hint="eastAsia"/>
                <w:color w:val="auto"/>
                <w:sz w:val="24"/>
                <w:szCs w:val="24"/>
                <w:lang w:val="en-US" w:eastAsia="zh-CN"/>
              </w:rPr>
              <w:t>总价</w:t>
            </w:r>
            <w:r>
              <w:rPr>
                <w:rFonts w:hint="eastAsia"/>
                <w:color w:val="auto"/>
                <w:sz w:val="24"/>
                <w:szCs w:val="24"/>
                <w:lang w:val="en-US" w:eastAsia="zh-CN"/>
              </w:rPr>
              <w:br w:type="textWrapping"/>
            </w:r>
            <w:r>
              <w:rPr>
                <w:rFonts w:hint="eastAsia"/>
                <w:color w:val="auto"/>
                <w:sz w:val="24"/>
                <w:szCs w:val="24"/>
                <w:lang w:val="en-US" w:eastAsia="zh-CN"/>
              </w:rPr>
              <w:t>(元)</w:t>
            </w:r>
          </w:p>
        </w:tc>
        <w:tc>
          <w:tcPr>
            <w:tcW w:w="1950" w:type="dxa"/>
            <w:vAlign w:val="center"/>
          </w:tcPr>
          <w:p w14:paraId="00104A89">
            <w:pPr>
              <w:spacing w:line="360" w:lineRule="auto"/>
              <w:jc w:val="center"/>
              <w:rPr>
                <w:rFonts w:hint="default"/>
                <w:color w:val="auto"/>
                <w:sz w:val="24"/>
                <w:szCs w:val="24"/>
                <w:lang w:val="en-US" w:eastAsia="zh-CN"/>
              </w:rPr>
            </w:pPr>
            <w:r>
              <w:rPr>
                <w:rFonts w:hint="eastAsia"/>
                <w:color w:val="auto"/>
                <w:sz w:val="24"/>
                <w:szCs w:val="24"/>
                <w:lang w:val="en-US" w:eastAsia="zh-CN"/>
              </w:rPr>
              <w:t>备注</w:t>
            </w:r>
          </w:p>
        </w:tc>
      </w:tr>
      <w:tr w14:paraId="28C5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318" w:type="dxa"/>
            <w:vMerge w:val="restart"/>
          </w:tcPr>
          <w:p w14:paraId="53E83F73">
            <w:pPr>
              <w:spacing w:line="360" w:lineRule="auto"/>
              <w:rPr>
                <w:rFonts w:hint="default"/>
                <w:color w:val="auto"/>
                <w:sz w:val="24"/>
                <w:szCs w:val="24"/>
                <w:lang w:val="en-US" w:eastAsia="zh-CN"/>
              </w:rPr>
            </w:pPr>
            <w:r>
              <w:rPr>
                <w:rFonts w:hint="eastAsia"/>
                <w:color w:val="auto"/>
                <w:sz w:val="24"/>
                <w:szCs w:val="24"/>
                <w:lang w:val="en-US" w:eastAsia="zh-CN"/>
              </w:rPr>
              <w:t>MG动画</w:t>
            </w:r>
          </w:p>
        </w:tc>
        <w:tc>
          <w:tcPr>
            <w:tcW w:w="2203" w:type="dxa"/>
          </w:tcPr>
          <w:p w14:paraId="27D356FD">
            <w:pPr>
              <w:spacing w:line="360" w:lineRule="auto"/>
              <w:rPr>
                <w:rFonts w:hint="default"/>
                <w:color w:val="auto"/>
                <w:sz w:val="24"/>
                <w:szCs w:val="24"/>
                <w:lang w:val="en-US" w:eastAsia="zh-CN"/>
              </w:rPr>
            </w:pPr>
            <w:r>
              <w:rPr>
                <w:rFonts w:hint="eastAsia"/>
                <w:color w:val="auto"/>
                <w:sz w:val="24"/>
                <w:szCs w:val="24"/>
                <w:lang w:val="en-US" w:eastAsia="zh-CN"/>
              </w:rPr>
              <w:t>文案脚本</w:t>
            </w:r>
          </w:p>
        </w:tc>
        <w:tc>
          <w:tcPr>
            <w:tcW w:w="970" w:type="dxa"/>
            <w:vMerge w:val="restart"/>
          </w:tcPr>
          <w:p w14:paraId="0F6FCD3B">
            <w:pPr>
              <w:spacing w:line="360" w:lineRule="auto"/>
              <w:rPr>
                <w:rFonts w:hint="eastAsia"/>
                <w:color w:val="auto"/>
                <w:sz w:val="24"/>
                <w:szCs w:val="24"/>
                <w:lang w:val="en-US" w:eastAsia="zh-CN"/>
              </w:rPr>
            </w:pPr>
            <w:r>
              <w:rPr>
                <w:rFonts w:hint="eastAsia"/>
                <w:color w:val="auto"/>
                <w:sz w:val="24"/>
                <w:szCs w:val="24"/>
                <w:lang w:val="en-US" w:eastAsia="zh-CN"/>
              </w:rPr>
              <w:t>1个</w:t>
            </w:r>
          </w:p>
          <w:p w14:paraId="74D69AB4">
            <w:pPr>
              <w:spacing w:line="360" w:lineRule="auto"/>
              <w:rPr>
                <w:rFonts w:hint="eastAsia" w:asciiTheme="minorHAnsi" w:hAnsiTheme="minorHAnsi" w:eastAsiaTheme="minorEastAsia" w:cstheme="minorBidi"/>
                <w:color w:val="auto"/>
                <w:kern w:val="2"/>
                <w:sz w:val="24"/>
                <w:szCs w:val="24"/>
                <w:lang w:val="en-US" w:eastAsia="zh-CN" w:bidi="ar-SA"/>
              </w:rPr>
            </w:pPr>
          </w:p>
        </w:tc>
        <w:tc>
          <w:tcPr>
            <w:tcW w:w="970" w:type="dxa"/>
            <w:vMerge w:val="restart"/>
          </w:tcPr>
          <w:p w14:paraId="11FF13B4">
            <w:pPr>
              <w:spacing w:line="360" w:lineRule="auto"/>
              <w:rPr>
                <w:rFonts w:hint="eastAsia"/>
                <w:color w:val="auto"/>
                <w:sz w:val="24"/>
                <w:szCs w:val="24"/>
                <w:lang w:val="en-US" w:eastAsia="zh-CN"/>
              </w:rPr>
            </w:pPr>
            <w:r>
              <w:rPr>
                <w:rFonts w:hint="eastAsia"/>
                <w:color w:val="auto"/>
                <w:sz w:val="24"/>
                <w:szCs w:val="24"/>
                <w:lang w:val="en-US" w:eastAsia="zh-CN"/>
              </w:rPr>
              <w:t>3分钟</w:t>
            </w:r>
          </w:p>
          <w:p w14:paraId="2F176C37">
            <w:pPr>
              <w:spacing w:line="360" w:lineRule="auto"/>
              <w:rPr>
                <w:rFonts w:hint="eastAsia" w:asciiTheme="minorHAnsi" w:hAnsiTheme="minorHAnsi" w:eastAsiaTheme="minorEastAsia" w:cstheme="minorBidi"/>
                <w:color w:val="auto"/>
                <w:kern w:val="2"/>
                <w:sz w:val="24"/>
                <w:szCs w:val="24"/>
                <w:lang w:val="en-US" w:eastAsia="zh-CN" w:bidi="ar-SA"/>
              </w:rPr>
            </w:pPr>
          </w:p>
        </w:tc>
        <w:tc>
          <w:tcPr>
            <w:tcW w:w="1000" w:type="dxa"/>
          </w:tcPr>
          <w:p w14:paraId="11F5EB3D">
            <w:pPr>
              <w:spacing w:line="360" w:lineRule="auto"/>
              <w:rPr>
                <w:rFonts w:hint="default"/>
                <w:color w:val="auto"/>
                <w:sz w:val="24"/>
                <w:szCs w:val="24"/>
                <w:lang w:val="en-US" w:eastAsia="zh-CN"/>
              </w:rPr>
            </w:pPr>
            <w:r>
              <w:rPr>
                <w:rFonts w:hint="eastAsia"/>
                <w:color w:val="auto"/>
                <w:sz w:val="24"/>
                <w:szCs w:val="24"/>
                <w:lang w:val="en-US" w:eastAsia="zh-CN"/>
              </w:rPr>
              <w:t>1500</w:t>
            </w:r>
          </w:p>
        </w:tc>
        <w:tc>
          <w:tcPr>
            <w:tcW w:w="1280" w:type="dxa"/>
            <w:vMerge w:val="restart"/>
          </w:tcPr>
          <w:p w14:paraId="0E407E93">
            <w:pPr>
              <w:spacing w:line="360" w:lineRule="auto"/>
              <w:rPr>
                <w:rFonts w:hint="default"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20000</w:t>
            </w:r>
          </w:p>
        </w:tc>
        <w:tc>
          <w:tcPr>
            <w:tcW w:w="1950" w:type="dxa"/>
            <w:vMerge w:val="restart"/>
          </w:tcPr>
          <w:p w14:paraId="7889D58A">
            <w:pPr>
              <w:spacing w:line="360" w:lineRule="auto"/>
              <w:rPr>
                <w:rFonts w:hint="default"/>
                <w:color w:val="auto"/>
                <w:sz w:val="24"/>
                <w:szCs w:val="24"/>
                <w:lang w:val="en-US" w:eastAsia="zh-CN"/>
              </w:rPr>
            </w:pPr>
            <w:r>
              <w:rPr>
                <w:rFonts w:hint="eastAsia"/>
                <w:color w:val="auto"/>
                <w:sz w:val="24"/>
                <w:szCs w:val="24"/>
                <w:lang w:val="en-US" w:eastAsia="zh-CN"/>
              </w:rPr>
              <w:t>美术、动漫制作专业原创设计，普通话一级乙等专业配音</w:t>
            </w:r>
          </w:p>
        </w:tc>
      </w:tr>
      <w:tr w14:paraId="3F21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318" w:type="dxa"/>
            <w:vMerge w:val="continue"/>
          </w:tcPr>
          <w:p w14:paraId="2C823820">
            <w:pPr>
              <w:spacing w:line="360" w:lineRule="auto"/>
              <w:rPr>
                <w:rFonts w:hint="eastAsia"/>
                <w:color w:val="auto"/>
                <w:sz w:val="24"/>
                <w:szCs w:val="24"/>
                <w:lang w:val="en-US" w:eastAsia="zh-CN"/>
              </w:rPr>
            </w:pPr>
          </w:p>
        </w:tc>
        <w:tc>
          <w:tcPr>
            <w:tcW w:w="2203" w:type="dxa"/>
          </w:tcPr>
          <w:p w14:paraId="4F236BD0">
            <w:pPr>
              <w:spacing w:line="360" w:lineRule="auto"/>
              <w:rPr>
                <w:rFonts w:hint="default"/>
                <w:color w:val="auto"/>
                <w:sz w:val="24"/>
                <w:szCs w:val="24"/>
                <w:lang w:val="en-US" w:eastAsia="zh-CN"/>
              </w:rPr>
            </w:pPr>
            <w:r>
              <w:rPr>
                <w:rFonts w:hint="eastAsia"/>
                <w:color w:val="auto"/>
                <w:sz w:val="24"/>
                <w:szCs w:val="24"/>
                <w:lang w:val="en-US" w:eastAsia="zh-CN"/>
              </w:rPr>
              <w:t>分镜头设计</w:t>
            </w:r>
          </w:p>
        </w:tc>
        <w:tc>
          <w:tcPr>
            <w:tcW w:w="970" w:type="dxa"/>
            <w:vMerge w:val="continue"/>
            <w:shd w:val="clear" w:color="auto" w:fill="auto"/>
            <w:vAlign w:val="top"/>
          </w:tcPr>
          <w:p w14:paraId="049B4248">
            <w:pPr>
              <w:spacing w:line="360" w:lineRule="auto"/>
              <w:rPr>
                <w:rFonts w:hint="eastAsia" w:asciiTheme="minorHAnsi" w:hAnsiTheme="minorHAnsi" w:eastAsiaTheme="minorEastAsia" w:cstheme="minorBidi"/>
                <w:color w:val="auto"/>
                <w:kern w:val="2"/>
                <w:sz w:val="24"/>
                <w:szCs w:val="24"/>
                <w:lang w:val="en-US" w:eastAsia="zh-CN" w:bidi="ar-SA"/>
              </w:rPr>
            </w:pPr>
          </w:p>
        </w:tc>
        <w:tc>
          <w:tcPr>
            <w:tcW w:w="970" w:type="dxa"/>
            <w:vMerge w:val="continue"/>
            <w:shd w:val="clear" w:color="auto" w:fill="auto"/>
            <w:vAlign w:val="top"/>
          </w:tcPr>
          <w:p w14:paraId="288B4208">
            <w:pPr>
              <w:spacing w:line="360" w:lineRule="auto"/>
              <w:rPr>
                <w:rFonts w:hint="eastAsia" w:asciiTheme="minorHAnsi" w:hAnsiTheme="minorHAnsi" w:eastAsiaTheme="minorEastAsia" w:cstheme="minorBidi"/>
                <w:color w:val="auto"/>
                <w:kern w:val="2"/>
                <w:sz w:val="24"/>
                <w:szCs w:val="24"/>
                <w:lang w:val="en-US" w:eastAsia="zh-CN" w:bidi="ar-SA"/>
              </w:rPr>
            </w:pPr>
          </w:p>
        </w:tc>
        <w:tc>
          <w:tcPr>
            <w:tcW w:w="1000" w:type="dxa"/>
          </w:tcPr>
          <w:p w14:paraId="253C9E34">
            <w:pPr>
              <w:spacing w:line="360" w:lineRule="auto"/>
              <w:rPr>
                <w:rFonts w:hint="default"/>
                <w:color w:val="auto"/>
                <w:sz w:val="24"/>
                <w:szCs w:val="24"/>
                <w:lang w:val="en-US" w:eastAsia="zh-CN"/>
              </w:rPr>
            </w:pPr>
            <w:r>
              <w:rPr>
                <w:rFonts w:hint="eastAsia"/>
                <w:color w:val="auto"/>
                <w:sz w:val="24"/>
                <w:szCs w:val="24"/>
                <w:lang w:val="en-US" w:eastAsia="zh-CN"/>
              </w:rPr>
              <w:t>2000</w:t>
            </w:r>
          </w:p>
        </w:tc>
        <w:tc>
          <w:tcPr>
            <w:tcW w:w="1280" w:type="dxa"/>
            <w:vMerge w:val="continue"/>
          </w:tcPr>
          <w:p w14:paraId="5FBAE5E5">
            <w:pPr>
              <w:spacing w:line="360" w:lineRule="auto"/>
              <w:rPr>
                <w:rFonts w:hint="default"/>
                <w:color w:val="auto"/>
                <w:sz w:val="24"/>
                <w:szCs w:val="24"/>
                <w:lang w:val="en-US" w:eastAsia="zh-CN"/>
              </w:rPr>
            </w:pPr>
          </w:p>
        </w:tc>
        <w:tc>
          <w:tcPr>
            <w:tcW w:w="1950" w:type="dxa"/>
            <w:vMerge w:val="continue"/>
          </w:tcPr>
          <w:p w14:paraId="6DD43810">
            <w:pPr>
              <w:spacing w:line="360" w:lineRule="auto"/>
              <w:rPr>
                <w:rFonts w:hint="eastAsia"/>
                <w:color w:val="auto"/>
                <w:sz w:val="24"/>
                <w:szCs w:val="24"/>
                <w:lang w:val="en-US" w:eastAsia="zh-CN"/>
              </w:rPr>
            </w:pPr>
          </w:p>
        </w:tc>
      </w:tr>
      <w:tr w14:paraId="76CD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18" w:type="dxa"/>
            <w:vMerge w:val="continue"/>
          </w:tcPr>
          <w:p w14:paraId="503AC471">
            <w:pPr>
              <w:spacing w:line="360" w:lineRule="auto"/>
              <w:rPr>
                <w:rFonts w:hint="eastAsia"/>
                <w:color w:val="auto"/>
                <w:sz w:val="24"/>
                <w:szCs w:val="24"/>
                <w:lang w:val="en-US" w:eastAsia="zh-CN"/>
              </w:rPr>
            </w:pPr>
          </w:p>
        </w:tc>
        <w:tc>
          <w:tcPr>
            <w:tcW w:w="2203" w:type="dxa"/>
          </w:tcPr>
          <w:p w14:paraId="58E4C521">
            <w:pPr>
              <w:spacing w:line="360" w:lineRule="auto"/>
              <w:rPr>
                <w:rFonts w:hint="default"/>
                <w:color w:val="auto"/>
                <w:sz w:val="24"/>
                <w:szCs w:val="24"/>
                <w:lang w:val="en-US" w:eastAsia="zh-CN"/>
              </w:rPr>
            </w:pPr>
            <w:r>
              <w:rPr>
                <w:rFonts w:hint="eastAsia"/>
                <w:color w:val="auto"/>
                <w:sz w:val="24"/>
                <w:szCs w:val="24"/>
                <w:lang w:val="en-US" w:eastAsia="zh-CN"/>
              </w:rPr>
              <w:t>角色绘制</w:t>
            </w:r>
          </w:p>
        </w:tc>
        <w:tc>
          <w:tcPr>
            <w:tcW w:w="970" w:type="dxa"/>
            <w:vMerge w:val="continue"/>
          </w:tcPr>
          <w:p w14:paraId="4445693B">
            <w:pPr>
              <w:spacing w:line="360" w:lineRule="auto"/>
              <w:rPr>
                <w:rFonts w:hint="eastAsia"/>
                <w:color w:val="auto"/>
                <w:sz w:val="24"/>
                <w:szCs w:val="24"/>
                <w:lang w:val="en-US" w:eastAsia="zh-CN"/>
              </w:rPr>
            </w:pPr>
          </w:p>
        </w:tc>
        <w:tc>
          <w:tcPr>
            <w:tcW w:w="970" w:type="dxa"/>
            <w:vMerge w:val="continue"/>
          </w:tcPr>
          <w:p w14:paraId="21FF46BF">
            <w:pPr>
              <w:spacing w:line="360" w:lineRule="auto"/>
              <w:rPr>
                <w:rFonts w:hint="eastAsia"/>
                <w:color w:val="auto"/>
                <w:sz w:val="24"/>
                <w:szCs w:val="24"/>
                <w:lang w:val="en-US" w:eastAsia="zh-CN"/>
              </w:rPr>
            </w:pPr>
          </w:p>
        </w:tc>
        <w:tc>
          <w:tcPr>
            <w:tcW w:w="1000" w:type="dxa"/>
            <w:shd w:val="clear" w:color="auto" w:fill="auto"/>
            <w:vAlign w:val="top"/>
          </w:tcPr>
          <w:p w14:paraId="009E16DC">
            <w:pPr>
              <w:spacing w:line="360" w:lineRule="auto"/>
              <w:rPr>
                <w:rFonts w:hint="default"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3500</w:t>
            </w:r>
          </w:p>
        </w:tc>
        <w:tc>
          <w:tcPr>
            <w:tcW w:w="1280" w:type="dxa"/>
            <w:vMerge w:val="continue"/>
            <w:shd w:val="clear" w:color="auto" w:fill="auto"/>
            <w:vAlign w:val="top"/>
          </w:tcPr>
          <w:p w14:paraId="4F60D624">
            <w:pPr>
              <w:spacing w:line="360" w:lineRule="auto"/>
              <w:rPr>
                <w:rFonts w:hint="eastAsia" w:asciiTheme="minorHAnsi" w:hAnsiTheme="minorHAnsi" w:eastAsiaTheme="minorEastAsia" w:cstheme="minorBidi"/>
                <w:color w:val="auto"/>
                <w:kern w:val="2"/>
                <w:sz w:val="24"/>
                <w:szCs w:val="24"/>
                <w:lang w:val="en-US" w:eastAsia="zh-CN" w:bidi="ar-SA"/>
              </w:rPr>
            </w:pPr>
          </w:p>
        </w:tc>
        <w:tc>
          <w:tcPr>
            <w:tcW w:w="1950" w:type="dxa"/>
            <w:vMerge w:val="continue"/>
          </w:tcPr>
          <w:p w14:paraId="63B337DA">
            <w:pPr>
              <w:spacing w:line="360" w:lineRule="auto"/>
              <w:rPr>
                <w:rFonts w:hint="eastAsia"/>
                <w:color w:val="auto"/>
                <w:sz w:val="24"/>
                <w:szCs w:val="24"/>
                <w:lang w:val="en-US" w:eastAsia="zh-CN"/>
              </w:rPr>
            </w:pPr>
          </w:p>
        </w:tc>
      </w:tr>
      <w:tr w14:paraId="662E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318" w:type="dxa"/>
            <w:vMerge w:val="continue"/>
          </w:tcPr>
          <w:p w14:paraId="7A04CF9F">
            <w:pPr>
              <w:spacing w:line="360" w:lineRule="auto"/>
              <w:rPr>
                <w:rFonts w:hint="eastAsia"/>
                <w:color w:val="auto"/>
                <w:sz w:val="24"/>
                <w:szCs w:val="24"/>
                <w:lang w:val="en-US" w:eastAsia="zh-CN"/>
              </w:rPr>
            </w:pPr>
          </w:p>
        </w:tc>
        <w:tc>
          <w:tcPr>
            <w:tcW w:w="2203" w:type="dxa"/>
          </w:tcPr>
          <w:p w14:paraId="5525D908">
            <w:pPr>
              <w:spacing w:line="360" w:lineRule="auto"/>
              <w:rPr>
                <w:rFonts w:hint="eastAsia"/>
                <w:color w:val="auto"/>
                <w:sz w:val="24"/>
                <w:szCs w:val="24"/>
                <w:lang w:val="en-US" w:eastAsia="zh-CN"/>
              </w:rPr>
            </w:pPr>
            <w:r>
              <w:rPr>
                <w:rFonts w:hint="eastAsia"/>
                <w:color w:val="auto"/>
                <w:sz w:val="24"/>
                <w:szCs w:val="24"/>
                <w:lang w:val="en-US" w:eastAsia="zh-CN"/>
              </w:rPr>
              <w:t>场景绘制</w:t>
            </w:r>
          </w:p>
        </w:tc>
        <w:tc>
          <w:tcPr>
            <w:tcW w:w="970" w:type="dxa"/>
            <w:vMerge w:val="continue"/>
          </w:tcPr>
          <w:p w14:paraId="11018D21">
            <w:pPr>
              <w:spacing w:line="360" w:lineRule="auto"/>
              <w:rPr>
                <w:rFonts w:hint="eastAsia"/>
                <w:color w:val="auto"/>
                <w:sz w:val="24"/>
                <w:szCs w:val="24"/>
                <w:lang w:val="en-US" w:eastAsia="zh-CN"/>
              </w:rPr>
            </w:pPr>
          </w:p>
        </w:tc>
        <w:tc>
          <w:tcPr>
            <w:tcW w:w="970" w:type="dxa"/>
            <w:vMerge w:val="continue"/>
          </w:tcPr>
          <w:p w14:paraId="24DD7BB7">
            <w:pPr>
              <w:spacing w:line="360" w:lineRule="auto"/>
              <w:rPr>
                <w:rFonts w:hint="eastAsia"/>
                <w:color w:val="auto"/>
                <w:sz w:val="24"/>
                <w:szCs w:val="24"/>
                <w:lang w:val="en-US" w:eastAsia="zh-CN"/>
              </w:rPr>
            </w:pPr>
          </w:p>
        </w:tc>
        <w:tc>
          <w:tcPr>
            <w:tcW w:w="1000" w:type="dxa"/>
          </w:tcPr>
          <w:p w14:paraId="3142E697">
            <w:pPr>
              <w:spacing w:line="360" w:lineRule="auto"/>
              <w:rPr>
                <w:rFonts w:hint="eastAsia"/>
                <w:color w:val="auto"/>
                <w:sz w:val="24"/>
                <w:szCs w:val="24"/>
                <w:lang w:val="en-US" w:eastAsia="zh-CN"/>
              </w:rPr>
            </w:pPr>
            <w:r>
              <w:rPr>
                <w:rFonts w:hint="eastAsia"/>
                <w:color w:val="auto"/>
                <w:sz w:val="24"/>
                <w:szCs w:val="24"/>
                <w:lang w:val="en-US" w:eastAsia="zh-CN"/>
              </w:rPr>
              <w:t>3500</w:t>
            </w:r>
          </w:p>
        </w:tc>
        <w:tc>
          <w:tcPr>
            <w:tcW w:w="1280" w:type="dxa"/>
            <w:vMerge w:val="continue"/>
          </w:tcPr>
          <w:p w14:paraId="2A08E062">
            <w:pPr>
              <w:spacing w:line="360" w:lineRule="auto"/>
              <w:rPr>
                <w:rFonts w:hint="default"/>
                <w:color w:val="auto"/>
                <w:sz w:val="24"/>
                <w:szCs w:val="24"/>
                <w:lang w:val="en-US" w:eastAsia="zh-CN"/>
              </w:rPr>
            </w:pPr>
          </w:p>
        </w:tc>
        <w:tc>
          <w:tcPr>
            <w:tcW w:w="1950" w:type="dxa"/>
            <w:vMerge w:val="continue"/>
          </w:tcPr>
          <w:p w14:paraId="75392E49">
            <w:pPr>
              <w:spacing w:line="360" w:lineRule="auto"/>
              <w:rPr>
                <w:rFonts w:hint="eastAsia"/>
                <w:color w:val="auto"/>
                <w:sz w:val="24"/>
                <w:szCs w:val="24"/>
                <w:lang w:val="en-US" w:eastAsia="zh-CN"/>
              </w:rPr>
            </w:pPr>
          </w:p>
        </w:tc>
      </w:tr>
      <w:tr w14:paraId="1D0E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318" w:type="dxa"/>
            <w:vMerge w:val="continue"/>
          </w:tcPr>
          <w:p w14:paraId="288AD9DC">
            <w:pPr>
              <w:spacing w:line="360" w:lineRule="auto"/>
              <w:rPr>
                <w:rFonts w:hint="eastAsia"/>
                <w:color w:val="auto"/>
                <w:sz w:val="24"/>
                <w:szCs w:val="24"/>
                <w:lang w:val="en-US" w:eastAsia="zh-CN"/>
              </w:rPr>
            </w:pPr>
          </w:p>
        </w:tc>
        <w:tc>
          <w:tcPr>
            <w:tcW w:w="2203" w:type="dxa"/>
          </w:tcPr>
          <w:p w14:paraId="35B68F86">
            <w:pPr>
              <w:spacing w:line="360" w:lineRule="auto"/>
              <w:rPr>
                <w:rFonts w:hint="default"/>
                <w:color w:val="auto"/>
                <w:sz w:val="24"/>
                <w:szCs w:val="24"/>
                <w:lang w:val="en-US" w:eastAsia="zh-CN"/>
              </w:rPr>
            </w:pPr>
            <w:r>
              <w:rPr>
                <w:rFonts w:hint="eastAsia"/>
                <w:color w:val="auto"/>
                <w:sz w:val="24"/>
                <w:szCs w:val="24"/>
                <w:lang w:val="en-US" w:eastAsia="zh-CN"/>
              </w:rPr>
              <w:t>动画制作</w:t>
            </w:r>
          </w:p>
        </w:tc>
        <w:tc>
          <w:tcPr>
            <w:tcW w:w="970" w:type="dxa"/>
            <w:vMerge w:val="continue"/>
          </w:tcPr>
          <w:p w14:paraId="718C5C3C">
            <w:pPr>
              <w:spacing w:line="360" w:lineRule="auto"/>
              <w:rPr>
                <w:rFonts w:hint="eastAsia"/>
                <w:color w:val="auto"/>
                <w:sz w:val="24"/>
                <w:szCs w:val="24"/>
                <w:lang w:val="en-US" w:eastAsia="zh-CN"/>
              </w:rPr>
            </w:pPr>
          </w:p>
        </w:tc>
        <w:tc>
          <w:tcPr>
            <w:tcW w:w="970" w:type="dxa"/>
            <w:vMerge w:val="continue"/>
          </w:tcPr>
          <w:p w14:paraId="6FB44253">
            <w:pPr>
              <w:spacing w:line="360" w:lineRule="auto"/>
              <w:rPr>
                <w:rFonts w:hint="eastAsia"/>
                <w:color w:val="auto"/>
                <w:sz w:val="24"/>
                <w:szCs w:val="24"/>
                <w:lang w:val="en-US" w:eastAsia="zh-CN"/>
              </w:rPr>
            </w:pPr>
          </w:p>
        </w:tc>
        <w:tc>
          <w:tcPr>
            <w:tcW w:w="1000" w:type="dxa"/>
            <w:shd w:val="clear" w:color="auto" w:fill="auto"/>
            <w:vAlign w:val="top"/>
          </w:tcPr>
          <w:p w14:paraId="641EDA99">
            <w:pPr>
              <w:spacing w:line="360" w:lineRule="auto"/>
              <w:rPr>
                <w:rFonts w:hint="eastAsia"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3500</w:t>
            </w:r>
          </w:p>
        </w:tc>
        <w:tc>
          <w:tcPr>
            <w:tcW w:w="1280" w:type="dxa"/>
            <w:vMerge w:val="continue"/>
            <w:shd w:val="clear" w:color="auto" w:fill="auto"/>
            <w:vAlign w:val="top"/>
          </w:tcPr>
          <w:p w14:paraId="19BD9499">
            <w:pPr>
              <w:spacing w:line="360" w:lineRule="auto"/>
              <w:rPr>
                <w:rFonts w:hint="eastAsia" w:asciiTheme="minorHAnsi" w:hAnsiTheme="minorHAnsi" w:eastAsiaTheme="minorEastAsia" w:cstheme="minorBidi"/>
                <w:color w:val="auto"/>
                <w:kern w:val="2"/>
                <w:sz w:val="24"/>
                <w:szCs w:val="24"/>
                <w:lang w:val="en-US" w:eastAsia="zh-CN" w:bidi="ar-SA"/>
              </w:rPr>
            </w:pPr>
          </w:p>
        </w:tc>
        <w:tc>
          <w:tcPr>
            <w:tcW w:w="1950" w:type="dxa"/>
            <w:vMerge w:val="continue"/>
          </w:tcPr>
          <w:p w14:paraId="4320D226">
            <w:pPr>
              <w:spacing w:line="360" w:lineRule="auto"/>
              <w:rPr>
                <w:rFonts w:hint="eastAsia"/>
                <w:color w:val="auto"/>
                <w:sz w:val="24"/>
                <w:szCs w:val="24"/>
                <w:lang w:val="en-US" w:eastAsia="zh-CN"/>
              </w:rPr>
            </w:pPr>
          </w:p>
        </w:tc>
      </w:tr>
      <w:tr w14:paraId="5508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318" w:type="dxa"/>
            <w:vMerge w:val="continue"/>
          </w:tcPr>
          <w:p w14:paraId="0C5BE7C2">
            <w:pPr>
              <w:spacing w:line="360" w:lineRule="auto"/>
              <w:rPr>
                <w:rFonts w:hint="eastAsia"/>
                <w:color w:val="auto"/>
                <w:sz w:val="24"/>
                <w:szCs w:val="24"/>
                <w:lang w:val="en-US" w:eastAsia="zh-CN"/>
              </w:rPr>
            </w:pPr>
          </w:p>
        </w:tc>
        <w:tc>
          <w:tcPr>
            <w:tcW w:w="2203" w:type="dxa"/>
          </w:tcPr>
          <w:p w14:paraId="047984FB">
            <w:pPr>
              <w:spacing w:line="360" w:lineRule="auto"/>
              <w:rPr>
                <w:rFonts w:hint="default"/>
                <w:color w:val="auto"/>
                <w:sz w:val="24"/>
                <w:szCs w:val="24"/>
                <w:lang w:val="en-US" w:eastAsia="zh-CN"/>
              </w:rPr>
            </w:pPr>
            <w:r>
              <w:rPr>
                <w:rFonts w:hint="eastAsia"/>
                <w:color w:val="auto"/>
                <w:sz w:val="24"/>
                <w:szCs w:val="24"/>
                <w:lang w:val="en-US" w:eastAsia="zh-CN"/>
              </w:rPr>
              <w:t>声音设计</w:t>
            </w:r>
          </w:p>
        </w:tc>
        <w:tc>
          <w:tcPr>
            <w:tcW w:w="970" w:type="dxa"/>
            <w:vMerge w:val="continue"/>
          </w:tcPr>
          <w:p w14:paraId="4BC6B53A">
            <w:pPr>
              <w:spacing w:line="360" w:lineRule="auto"/>
              <w:rPr>
                <w:rFonts w:hint="eastAsia"/>
                <w:color w:val="auto"/>
                <w:sz w:val="24"/>
                <w:szCs w:val="24"/>
                <w:lang w:val="en-US" w:eastAsia="zh-CN"/>
              </w:rPr>
            </w:pPr>
          </w:p>
        </w:tc>
        <w:tc>
          <w:tcPr>
            <w:tcW w:w="970" w:type="dxa"/>
            <w:vMerge w:val="continue"/>
          </w:tcPr>
          <w:p w14:paraId="6454B469">
            <w:pPr>
              <w:spacing w:line="360" w:lineRule="auto"/>
              <w:rPr>
                <w:rFonts w:hint="eastAsia"/>
                <w:color w:val="auto"/>
                <w:sz w:val="24"/>
                <w:szCs w:val="24"/>
                <w:lang w:val="en-US" w:eastAsia="zh-CN"/>
              </w:rPr>
            </w:pPr>
          </w:p>
        </w:tc>
        <w:tc>
          <w:tcPr>
            <w:tcW w:w="1000" w:type="dxa"/>
            <w:shd w:val="clear" w:color="auto" w:fill="auto"/>
            <w:vAlign w:val="top"/>
          </w:tcPr>
          <w:p w14:paraId="6002ED36">
            <w:pPr>
              <w:spacing w:line="360" w:lineRule="auto"/>
              <w:rPr>
                <w:rFonts w:hint="default"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3000</w:t>
            </w:r>
          </w:p>
        </w:tc>
        <w:tc>
          <w:tcPr>
            <w:tcW w:w="1280" w:type="dxa"/>
            <w:vMerge w:val="continue"/>
            <w:shd w:val="clear" w:color="auto" w:fill="auto"/>
            <w:vAlign w:val="top"/>
          </w:tcPr>
          <w:p w14:paraId="3EB54178">
            <w:pPr>
              <w:spacing w:line="360" w:lineRule="auto"/>
              <w:rPr>
                <w:rFonts w:hint="eastAsia" w:asciiTheme="minorHAnsi" w:hAnsiTheme="minorHAnsi" w:eastAsiaTheme="minorEastAsia" w:cstheme="minorBidi"/>
                <w:color w:val="auto"/>
                <w:kern w:val="2"/>
                <w:sz w:val="24"/>
                <w:szCs w:val="24"/>
                <w:lang w:val="en-US" w:eastAsia="zh-CN" w:bidi="ar-SA"/>
              </w:rPr>
            </w:pPr>
          </w:p>
        </w:tc>
        <w:tc>
          <w:tcPr>
            <w:tcW w:w="1950" w:type="dxa"/>
            <w:vMerge w:val="continue"/>
          </w:tcPr>
          <w:p w14:paraId="3EF1FA54">
            <w:pPr>
              <w:spacing w:line="360" w:lineRule="auto"/>
              <w:rPr>
                <w:rFonts w:hint="eastAsia"/>
                <w:color w:val="auto"/>
                <w:sz w:val="24"/>
                <w:szCs w:val="24"/>
                <w:lang w:val="en-US" w:eastAsia="zh-CN"/>
              </w:rPr>
            </w:pPr>
          </w:p>
        </w:tc>
      </w:tr>
      <w:tr w14:paraId="0FC0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318" w:type="dxa"/>
            <w:vMerge w:val="continue"/>
          </w:tcPr>
          <w:p w14:paraId="25FB98AE">
            <w:pPr>
              <w:spacing w:line="360" w:lineRule="auto"/>
              <w:rPr>
                <w:rFonts w:hint="eastAsia"/>
                <w:color w:val="auto"/>
                <w:sz w:val="24"/>
                <w:szCs w:val="24"/>
                <w:lang w:val="en-US" w:eastAsia="zh-CN"/>
              </w:rPr>
            </w:pPr>
          </w:p>
        </w:tc>
        <w:tc>
          <w:tcPr>
            <w:tcW w:w="2203" w:type="dxa"/>
          </w:tcPr>
          <w:p w14:paraId="1A5E20F3">
            <w:pPr>
              <w:spacing w:line="360" w:lineRule="auto"/>
              <w:rPr>
                <w:rFonts w:hint="default"/>
                <w:color w:val="auto"/>
                <w:sz w:val="24"/>
                <w:szCs w:val="24"/>
                <w:lang w:val="en-US" w:eastAsia="zh-CN"/>
              </w:rPr>
            </w:pPr>
            <w:r>
              <w:rPr>
                <w:rFonts w:hint="eastAsia"/>
                <w:color w:val="auto"/>
                <w:sz w:val="24"/>
                <w:szCs w:val="24"/>
                <w:lang w:val="en-US" w:eastAsia="zh-CN"/>
              </w:rPr>
              <w:t>后期制作</w:t>
            </w:r>
          </w:p>
        </w:tc>
        <w:tc>
          <w:tcPr>
            <w:tcW w:w="970" w:type="dxa"/>
            <w:vMerge w:val="continue"/>
          </w:tcPr>
          <w:p w14:paraId="222525D3">
            <w:pPr>
              <w:spacing w:line="360" w:lineRule="auto"/>
              <w:rPr>
                <w:rFonts w:hint="eastAsia"/>
                <w:color w:val="auto"/>
                <w:sz w:val="24"/>
                <w:szCs w:val="24"/>
                <w:lang w:val="en-US" w:eastAsia="zh-CN"/>
              </w:rPr>
            </w:pPr>
          </w:p>
        </w:tc>
        <w:tc>
          <w:tcPr>
            <w:tcW w:w="970" w:type="dxa"/>
            <w:vMerge w:val="continue"/>
          </w:tcPr>
          <w:p w14:paraId="02AFC095">
            <w:pPr>
              <w:spacing w:line="360" w:lineRule="auto"/>
              <w:rPr>
                <w:rFonts w:hint="eastAsia"/>
                <w:color w:val="auto"/>
                <w:sz w:val="24"/>
                <w:szCs w:val="24"/>
                <w:lang w:val="en-US" w:eastAsia="zh-CN"/>
              </w:rPr>
            </w:pPr>
          </w:p>
        </w:tc>
        <w:tc>
          <w:tcPr>
            <w:tcW w:w="1000" w:type="dxa"/>
            <w:shd w:val="clear" w:color="auto" w:fill="auto"/>
            <w:vAlign w:val="top"/>
          </w:tcPr>
          <w:p w14:paraId="52EB48A4">
            <w:pPr>
              <w:spacing w:line="360" w:lineRule="auto"/>
              <w:rPr>
                <w:rFonts w:hint="eastAsia"/>
                <w:color w:val="auto"/>
                <w:sz w:val="24"/>
                <w:szCs w:val="24"/>
                <w:lang w:val="en-US" w:eastAsia="zh-CN"/>
              </w:rPr>
            </w:pPr>
            <w:r>
              <w:rPr>
                <w:rFonts w:hint="eastAsia"/>
                <w:color w:val="auto"/>
                <w:sz w:val="24"/>
                <w:szCs w:val="24"/>
                <w:lang w:val="en-US" w:eastAsia="zh-CN"/>
              </w:rPr>
              <w:t>3000</w:t>
            </w:r>
          </w:p>
        </w:tc>
        <w:tc>
          <w:tcPr>
            <w:tcW w:w="1280" w:type="dxa"/>
            <w:vMerge w:val="continue"/>
            <w:shd w:val="clear" w:color="auto" w:fill="auto"/>
            <w:vAlign w:val="top"/>
          </w:tcPr>
          <w:p w14:paraId="5AFC5EFC">
            <w:pPr>
              <w:spacing w:line="360" w:lineRule="auto"/>
              <w:rPr>
                <w:rFonts w:hint="eastAsia"/>
                <w:color w:val="auto"/>
                <w:sz w:val="24"/>
                <w:szCs w:val="24"/>
                <w:lang w:val="en-US" w:eastAsia="zh-CN"/>
              </w:rPr>
            </w:pPr>
          </w:p>
        </w:tc>
        <w:tc>
          <w:tcPr>
            <w:tcW w:w="1950" w:type="dxa"/>
            <w:vMerge w:val="continue"/>
          </w:tcPr>
          <w:p w14:paraId="4130104C">
            <w:pPr>
              <w:spacing w:line="360" w:lineRule="auto"/>
              <w:rPr>
                <w:rFonts w:hint="eastAsia"/>
                <w:color w:val="auto"/>
                <w:sz w:val="24"/>
                <w:szCs w:val="24"/>
                <w:lang w:val="en-US" w:eastAsia="zh-CN"/>
              </w:rPr>
            </w:pPr>
          </w:p>
        </w:tc>
      </w:tr>
      <w:tr w14:paraId="26CC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318" w:type="dxa"/>
          </w:tcPr>
          <w:p w14:paraId="2BCB7772">
            <w:pPr>
              <w:spacing w:line="360" w:lineRule="auto"/>
              <w:rPr>
                <w:rFonts w:hint="eastAsia"/>
                <w:color w:val="auto"/>
                <w:sz w:val="24"/>
                <w:szCs w:val="24"/>
                <w:lang w:val="en-US" w:eastAsia="zh-CN"/>
              </w:rPr>
            </w:pPr>
            <w:r>
              <w:rPr>
                <w:rFonts w:hint="eastAsia"/>
                <w:color w:val="auto"/>
                <w:sz w:val="24"/>
                <w:szCs w:val="24"/>
                <w:lang w:val="en-US" w:eastAsia="zh-CN"/>
              </w:rPr>
              <w:t>闽江之心户外LED大屏播放</w:t>
            </w:r>
          </w:p>
        </w:tc>
        <w:tc>
          <w:tcPr>
            <w:tcW w:w="2203" w:type="dxa"/>
          </w:tcPr>
          <w:p w14:paraId="1CC047AE">
            <w:pPr>
              <w:spacing w:line="360" w:lineRule="auto"/>
              <w:rPr>
                <w:rFonts w:hint="eastAsia"/>
                <w:color w:val="auto"/>
                <w:sz w:val="24"/>
                <w:szCs w:val="24"/>
                <w:lang w:val="en-US" w:eastAsia="zh-CN"/>
              </w:rPr>
            </w:pPr>
            <w:r>
              <w:rPr>
                <w:rFonts w:hint="eastAsia"/>
                <w:color w:val="auto"/>
                <w:sz w:val="24"/>
                <w:szCs w:val="24"/>
                <w:lang w:val="en-US" w:eastAsia="zh-CN"/>
              </w:rPr>
              <w:t>LED屏A面13.31m*5.12m，B面6.4m*5.12，C面7.68m*5.12m,三面为一个整体，合计面积不低于140㎡</w:t>
            </w:r>
          </w:p>
        </w:tc>
        <w:tc>
          <w:tcPr>
            <w:tcW w:w="970" w:type="dxa"/>
            <w:shd w:val="clear" w:color="auto" w:fill="auto"/>
            <w:vAlign w:val="center"/>
          </w:tcPr>
          <w:p w14:paraId="7380A68A">
            <w:pPr>
              <w:spacing w:line="360" w:lineRule="auto"/>
              <w:rPr>
                <w:rFonts w:hint="default"/>
                <w:color w:val="auto"/>
                <w:sz w:val="24"/>
                <w:szCs w:val="24"/>
                <w:lang w:val="en-US" w:eastAsia="zh-CN"/>
              </w:rPr>
            </w:pPr>
            <w:r>
              <w:rPr>
                <w:rFonts w:hint="eastAsia"/>
                <w:color w:val="auto"/>
                <w:sz w:val="24"/>
                <w:szCs w:val="24"/>
                <w:lang w:val="en-US" w:eastAsia="zh-CN"/>
              </w:rPr>
              <w:t>15秒/120次/天</w:t>
            </w:r>
          </w:p>
        </w:tc>
        <w:tc>
          <w:tcPr>
            <w:tcW w:w="970" w:type="dxa"/>
          </w:tcPr>
          <w:p w14:paraId="7B33FA2C">
            <w:pPr>
              <w:spacing w:line="360" w:lineRule="auto"/>
              <w:rPr>
                <w:rFonts w:hint="default"/>
                <w:color w:val="auto"/>
                <w:sz w:val="24"/>
                <w:szCs w:val="24"/>
                <w:lang w:val="en-US" w:eastAsia="zh-CN"/>
              </w:rPr>
            </w:pPr>
            <w:r>
              <w:rPr>
                <w:rFonts w:hint="eastAsia"/>
                <w:color w:val="auto"/>
                <w:sz w:val="24"/>
                <w:szCs w:val="24"/>
                <w:lang w:val="en-US" w:eastAsia="zh-CN"/>
              </w:rPr>
              <w:t>1周</w:t>
            </w:r>
          </w:p>
        </w:tc>
        <w:tc>
          <w:tcPr>
            <w:tcW w:w="1000" w:type="dxa"/>
          </w:tcPr>
          <w:p w14:paraId="19E80C07">
            <w:pPr>
              <w:spacing w:line="360" w:lineRule="auto"/>
              <w:rPr>
                <w:rFonts w:hint="default"/>
                <w:color w:val="auto"/>
                <w:sz w:val="24"/>
                <w:szCs w:val="24"/>
                <w:lang w:val="en-US" w:eastAsia="zh-CN"/>
              </w:rPr>
            </w:pPr>
            <w:r>
              <w:rPr>
                <w:rFonts w:hint="eastAsia"/>
                <w:color w:val="auto"/>
                <w:sz w:val="24"/>
                <w:szCs w:val="24"/>
                <w:lang w:val="en-US" w:eastAsia="zh-CN"/>
              </w:rPr>
              <w:t>10000</w:t>
            </w:r>
          </w:p>
        </w:tc>
        <w:tc>
          <w:tcPr>
            <w:tcW w:w="1280" w:type="dxa"/>
          </w:tcPr>
          <w:p w14:paraId="6088DFE8">
            <w:pPr>
              <w:spacing w:line="360" w:lineRule="auto"/>
              <w:rPr>
                <w:rFonts w:hint="default"/>
                <w:color w:val="auto"/>
                <w:sz w:val="24"/>
                <w:szCs w:val="24"/>
                <w:lang w:val="en-US" w:eastAsia="zh-CN"/>
              </w:rPr>
            </w:pPr>
            <w:r>
              <w:rPr>
                <w:rFonts w:hint="eastAsia"/>
                <w:color w:val="auto"/>
                <w:sz w:val="24"/>
                <w:szCs w:val="24"/>
                <w:lang w:val="en-US" w:eastAsia="zh-CN"/>
              </w:rPr>
              <w:t>10000</w:t>
            </w:r>
          </w:p>
        </w:tc>
        <w:tc>
          <w:tcPr>
            <w:tcW w:w="1950" w:type="dxa"/>
          </w:tcPr>
          <w:p w14:paraId="1E19C710">
            <w:pPr>
              <w:spacing w:line="360" w:lineRule="auto"/>
              <w:rPr>
                <w:rFonts w:hint="default"/>
                <w:color w:val="auto"/>
                <w:sz w:val="24"/>
                <w:szCs w:val="24"/>
                <w:lang w:val="en-US" w:eastAsia="zh-CN"/>
              </w:rPr>
            </w:pPr>
            <w:r>
              <w:rPr>
                <w:rFonts w:hint="eastAsia"/>
                <w:color w:val="auto"/>
                <w:sz w:val="24"/>
                <w:szCs w:val="24"/>
                <w:lang w:val="en-US" w:eastAsia="zh-CN"/>
              </w:rPr>
              <w:t>开机时间08:30-22:30，每天播放14小时，每次播放时长15秒，每天播放不少于120次。</w:t>
            </w:r>
          </w:p>
        </w:tc>
      </w:tr>
      <w:tr w14:paraId="582A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318" w:type="dxa"/>
            <w:shd w:val="clear" w:color="auto" w:fill="auto"/>
            <w:vAlign w:val="top"/>
          </w:tcPr>
          <w:p w14:paraId="20B72F9E">
            <w:pPr>
              <w:spacing w:line="360" w:lineRule="auto"/>
              <w:rPr>
                <w:rFonts w:hint="eastAsia"/>
                <w:color w:val="auto"/>
                <w:sz w:val="24"/>
                <w:szCs w:val="24"/>
                <w:lang w:val="en-US" w:eastAsia="zh-CN"/>
              </w:rPr>
            </w:pPr>
            <w:r>
              <w:rPr>
                <w:rFonts w:hint="eastAsia"/>
                <w:color w:val="auto"/>
                <w:sz w:val="24"/>
                <w:szCs w:val="24"/>
                <w:lang w:val="en-US" w:eastAsia="zh-CN"/>
              </w:rPr>
              <w:t>空拍视频</w:t>
            </w:r>
          </w:p>
        </w:tc>
        <w:tc>
          <w:tcPr>
            <w:tcW w:w="2203" w:type="dxa"/>
            <w:shd w:val="clear" w:color="auto" w:fill="auto"/>
            <w:vAlign w:val="top"/>
          </w:tcPr>
          <w:p w14:paraId="46B08F5F">
            <w:pPr>
              <w:spacing w:line="360" w:lineRule="auto"/>
              <w:rPr>
                <w:rFonts w:hint="default"/>
                <w:color w:val="auto"/>
                <w:sz w:val="24"/>
                <w:szCs w:val="24"/>
                <w:lang w:val="en-US" w:eastAsia="zh-CN"/>
              </w:rPr>
            </w:pPr>
            <w:r>
              <w:rPr>
                <w:rFonts w:hint="eastAsia"/>
                <w:color w:val="auto"/>
                <w:sz w:val="24"/>
                <w:szCs w:val="24"/>
                <w:lang w:val="en-US" w:eastAsia="zh-CN"/>
              </w:rPr>
              <w:t>针对大屏播放空拍一个多角度视频，含夜景拍摄</w:t>
            </w:r>
          </w:p>
        </w:tc>
        <w:tc>
          <w:tcPr>
            <w:tcW w:w="970" w:type="dxa"/>
            <w:shd w:val="clear" w:color="auto" w:fill="auto"/>
            <w:vAlign w:val="top"/>
          </w:tcPr>
          <w:p w14:paraId="54176FEE">
            <w:pPr>
              <w:spacing w:line="360" w:lineRule="auto"/>
              <w:rPr>
                <w:rFonts w:hint="eastAsia"/>
                <w:color w:val="auto"/>
                <w:sz w:val="24"/>
                <w:szCs w:val="24"/>
                <w:lang w:val="en-US" w:eastAsia="zh-CN"/>
              </w:rPr>
            </w:pPr>
            <w:r>
              <w:rPr>
                <w:rFonts w:hint="eastAsia"/>
                <w:color w:val="auto"/>
                <w:sz w:val="24"/>
                <w:szCs w:val="24"/>
                <w:lang w:val="en-US" w:eastAsia="zh-CN"/>
              </w:rPr>
              <w:t>1个</w:t>
            </w:r>
          </w:p>
        </w:tc>
        <w:tc>
          <w:tcPr>
            <w:tcW w:w="970" w:type="dxa"/>
            <w:shd w:val="clear" w:color="auto" w:fill="auto"/>
            <w:vAlign w:val="top"/>
          </w:tcPr>
          <w:p w14:paraId="2FF194AD">
            <w:pPr>
              <w:spacing w:line="360" w:lineRule="auto"/>
              <w:rPr>
                <w:rFonts w:hint="eastAsia"/>
                <w:color w:val="auto"/>
                <w:sz w:val="24"/>
                <w:szCs w:val="24"/>
                <w:lang w:val="en-US" w:eastAsia="zh-CN"/>
              </w:rPr>
            </w:pPr>
            <w:r>
              <w:rPr>
                <w:rFonts w:hint="eastAsia"/>
                <w:color w:val="auto"/>
                <w:sz w:val="24"/>
                <w:szCs w:val="24"/>
                <w:lang w:val="en-US" w:eastAsia="zh-CN"/>
              </w:rPr>
              <w:t>15秒</w:t>
            </w:r>
          </w:p>
        </w:tc>
        <w:tc>
          <w:tcPr>
            <w:tcW w:w="1000" w:type="dxa"/>
            <w:shd w:val="clear" w:color="auto" w:fill="auto"/>
            <w:vAlign w:val="top"/>
          </w:tcPr>
          <w:p w14:paraId="65303AF9">
            <w:pPr>
              <w:spacing w:line="360" w:lineRule="auto"/>
              <w:rPr>
                <w:rFonts w:hint="eastAsia"/>
                <w:color w:val="auto"/>
                <w:sz w:val="24"/>
                <w:szCs w:val="24"/>
                <w:lang w:val="en-US" w:eastAsia="zh-CN"/>
              </w:rPr>
            </w:pPr>
            <w:r>
              <w:rPr>
                <w:rFonts w:hint="eastAsia"/>
                <w:color w:val="auto"/>
                <w:sz w:val="24"/>
                <w:szCs w:val="24"/>
                <w:lang w:val="en-US" w:eastAsia="zh-CN"/>
              </w:rPr>
              <w:t>5000元</w:t>
            </w:r>
          </w:p>
        </w:tc>
        <w:tc>
          <w:tcPr>
            <w:tcW w:w="1280" w:type="dxa"/>
            <w:shd w:val="clear" w:color="auto" w:fill="auto"/>
            <w:vAlign w:val="top"/>
          </w:tcPr>
          <w:p w14:paraId="53E92BBD">
            <w:pPr>
              <w:spacing w:line="360" w:lineRule="auto"/>
              <w:rPr>
                <w:rFonts w:hint="eastAsia"/>
                <w:color w:val="auto"/>
                <w:sz w:val="24"/>
                <w:szCs w:val="24"/>
                <w:lang w:val="en-US" w:eastAsia="zh-CN"/>
              </w:rPr>
            </w:pPr>
            <w:r>
              <w:rPr>
                <w:rFonts w:hint="eastAsia"/>
                <w:color w:val="auto"/>
                <w:sz w:val="24"/>
                <w:szCs w:val="24"/>
                <w:lang w:val="en-US" w:eastAsia="zh-CN"/>
              </w:rPr>
              <w:t>5000元</w:t>
            </w:r>
          </w:p>
        </w:tc>
        <w:tc>
          <w:tcPr>
            <w:tcW w:w="1950" w:type="dxa"/>
            <w:shd w:val="clear" w:color="auto" w:fill="auto"/>
            <w:vAlign w:val="top"/>
          </w:tcPr>
          <w:p w14:paraId="675221E5">
            <w:pPr>
              <w:spacing w:line="360" w:lineRule="auto"/>
              <w:rPr>
                <w:rFonts w:hint="eastAsia"/>
                <w:color w:val="auto"/>
                <w:sz w:val="24"/>
                <w:szCs w:val="24"/>
                <w:lang w:val="en-US" w:eastAsia="zh-CN"/>
              </w:rPr>
            </w:pPr>
            <w:r>
              <w:rPr>
                <w:rFonts w:hint="eastAsia"/>
                <w:color w:val="auto"/>
                <w:sz w:val="24"/>
                <w:szCs w:val="24"/>
                <w:lang w:val="en-US" w:eastAsia="zh-CN"/>
              </w:rPr>
              <w:t>含拍摄、剪辑及特效</w:t>
            </w:r>
          </w:p>
        </w:tc>
      </w:tr>
      <w:tr w14:paraId="6935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318" w:type="dxa"/>
          </w:tcPr>
          <w:p w14:paraId="55B7C86A">
            <w:pPr>
              <w:spacing w:line="360" w:lineRule="auto"/>
              <w:rPr>
                <w:rFonts w:hint="default"/>
                <w:color w:val="auto"/>
                <w:sz w:val="24"/>
                <w:szCs w:val="24"/>
                <w:lang w:val="en-US" w:eastAsia="zh-CN"/>
              </w:rPr>
            </w:pPr>
            <w:r>
              <w:rPr>
                <w:rFonts w:hint="eastAsia"/>
                <w:color w:val="auto"/>
                <w:sz w:val="24"/>
                <w:szCs w:val="24"/>
                <w:lang w:val="en-US" w:eastAsia="zh-CN"/>
              </w:rPr>
              <w:t>社区灯箱</w:t>
            </w:r>
          </w:p>
        </w:tc>
        <w:tc>
          <w:tcPr>
            <w:tcW w:w="2203" w:type="dxa"/>
          </w:tcPr>
          <w:p w14:paraId="15C39006">
            <w:pPr>
              <w:spacing w:line="360" w:lineRule="auto"/>
              <w:rPr>
                <w:rFonts w:hint="eastAsia"/>
                <w:color w:val="auto"/>
                <w:sz w:val="24"/>
                <w:szCs w:val="24"/>
                <w:lang w:val="en-US" w:eastAsia="zh-CN"/>
              </w:rPr>
            </w:pPr>
            <w:r>
              <w:rPr>
                <w:rFonts w:hint="eastAsia"/>
                <w:color w:val="auto"/>
                <w:sz w:val="24"/>
                <w:szCs w:val="24"/>
                <w:lang w:val="en-US" w:eastAsia="zh-CN"/>
              </w:rPr>
              <w:t>在住宅区的进出口灯箱连续投放海报</w:t>
            </w:r>
          </w:p>
        </w:tc>
        <w:tc>
          <w:tcPr>
            <w:tcW w:w="970" w:type="dxa"/>
          </w:tcPr>
          <w:p w14:paraId="3036263B">
            <w:pPr>
              <w:spacing w:line="360" w:lineRule="auto"/>
              <w:rPr>
                <w:rFonts w:hint="default"/>
                <w:color w:val="auto"/>
                <w:sz w:val="24"/>
                <w:szCs w:val="24"/>
                <w:lang w:val="en-US" w:eastAsia="zh-CN"/>
              </w:rPr>
            </w:pPr>
            <w:r>
              <w:rPr>
                <w:rFonts w:hint="eastAsia"/>
                <w:color w:val="auto"/>
                <w:sz w:val="24"/>
                <w:szCs w:val="24"/>
                <w:lang w:val="en-US" w:eastAsia="zh-CN"/>
              </w:rPr>
              <w:t>20面</w:t>
            </w:r>
          </w:p>
        </w:tc>
        <w:tc>
          <w:tcPr>
            <w:tcW w:w="970" w:type="dxa"/>
          </w:tcPr>
          <w:p w14:paraId="45C88ECF">
            <w:pPr>
              <w:spacing w:line="360" w:lineRule="auto"/>
              <w:rPr>
                <w:rFonts w:hint="eastAsia"/>
                <w:color w:val="auto"/>
                <w:sz w:val="24"/>
                <w:szCs w:val="24"/>
                <w:lang w:val="en-US" w:eastAsia="zh-CN"/>
              </w:rPr>
            </w:pPr>
            <w:r>
              <w:rPr>
                <w:rFonts w:hint="eastAsia"/>
                <w:color w:val="auto"/>
                <w:sz w:val="24"/>
                <w:szCs w:val="24"/>
                <w:lang w:val="en-US" w:eastAsia="zh-CN"/>
              </w:rPr>
              <w:t>1个月</w:t>
            </w:r>
          </w:p>
        </w:tc>
        <w:tc>
          <w:tcPr>
            <w:tcW w:w="1000" w:type="dxa"/>
          </w:tcPr>
          <w:p w14:paraId="41F3E230">
            <w:pPr>
              <w:spacing w:line="360" w:lineRule="auto"/>
              <w:rPr>
                <w:rFonts w:hint="default"/>
                <w:color w:val="auto"/>
                <w:sz w:val="24"/>
                <w:szCs w:val="24"/>
                <w:lang w:val="en-US" w:eastAsia="zh-CN"/>
              </w:rPr>
            </w:pPr>
            <w:r>
              <w:rPr>
                <w:rFonts w:hint="eastAsia"/>
                <w:color w:val="auto"/>
                <w:sz w:val="24"/>
                <w:szCs w:val="24"/>
                <w:lang w:val="en-US" w:eastAsia="zh-CN"/>
              </w:rPr>
              <w:t>500/面/月</w:t>
            </w:r>
          </w:p>
        </w:tc>
        <w:tc>
          <w:tcPr>
            <w:tcW w:w="1280" w:type="dxa"/>
          </w:tcPr>
          <w:p w14:paraId="21CD97E5">
            <w:pPr>
              <w:spacing w:line="360" w:lineRule="auto"/>
              <w:rPr>
                <w:rFonts w:hint="default"/>
                <w:color w:val="auto"/>
                <w:sz w:val="24"/>
                <w:szCs w:val="24"/>
                <w:lang w:val="en-US" w:eastAsia="zh-CN"/>
              </w:rPr>
            </w:pPr>
            <w:r>
              <w:rPr>
                <w:rFonts w:hint="eastAsia"/>
                <w:color w:val="auto"/>
                <w:sz w:val="24"/>
                <w:szCs w:val="24"/>
                <w:lang w:val="en-US" w:eastAsia="zh-CN"/>
              </w:rPr>
              <w:t>10000</w:t>
            </w:r>
          </w:p>
        </w:tc>
        <w:tc>
          <w:tcPr>
            <w:tcW w:w="1950" w:type="dxa"/>
          </w:tcPr>
          <w:p w14:paraId="71A8C711">
            <w:pPr>
              <w:spacing w:line="360" w:lineRule="auto"/>
              <w:rPr>
                <w:rFonts w:hint="default"/>
                <w:color w:val="auto"/>
                <w:sz w:val="24"/>
                <w:szCs w:val="24"/>
                <w:lang w:val="en-US" w:eastAsia="zh-CN"/>
              </w:rPr>
            </w:pPr>
            <w:r>
              <w:rPr>
                <w:rFonts w:hint="eastAsia"/>
                <w:color w:val="auto"/>
                <w:sz w:val="24"/>
                <w:szCs w:val="24"/>
                <w:lang w:val="en-US" w:eastAsia="zh-CN"/>
              </w:rPr>
              <w:t>投放在五城区人口密集社区</w:t>
            </w:r>
          </w:p>
        </w:tc>
      </w:tr>
      <w:tr w14:paraId="12FF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318" w:type="dxa"/>
          </w:tcPr>
          <w:p w14:paraId="3C430805">
            <w:pPr>
              <w:spacing w:line="360" w:lineRule="auto"/>
              <w:rPr>
                <w:rFonts w:hint="default"/>
                <w:color w:val="auto"/>
                <w:sz w:val="24"/>
                <w:szCs w:val="24"/>
                <w:lang w:val="en-US" w:eastAsia="zh-CN"/>
              </w:rPr>
            </w:pPr>
            <w:r>
              <w:rPr>
                <w:rFonts w:hint="eastAsia"/>
                <w:color w:val="auto"/>
                <w:sz w:val="24"/>
                <w:szCs w:val="24"/>
                <w:lang w:val="en-US" w:eastAsia="zh-CN"/>
              </w:rPr>
              <w:t xml:space="preserve">市级及以上官方媒体平台抖音号发布 </w:t>
            </w:r>
          </w:p>
        </w:tc>
        <w:tc>
          <w:tcPr>
            <w:tcW w:w="2203" w:type="dxa"/>
          </w:tcPr>
          <w:p w14:paraId="529F69B6">
            <w:pPr>
              <w:spacing w:line="360" w:lineRule="auto"/>
              <w:rPr>
                <w:rFonts w:hint="default"/>
                <w:color w:val="auto"/>
                <w:sz w:val="24"/>
                <w:szCs w:val="24"/>
                <w:lang w:val="en-US" w:eastAsia="zh-CN"/>
              </w:rPr>
            </w:pPr>
            <w:r>
              <w:rPr>
                <w:rFonts w:hint="eastAsia"/>
                <w:color w:val="auto"/>
                <w:sz w:val="24"/>
                <w:szCs w:val="24"/>
                <w:lang w:val="en-US" w:eastAsia="zh-CN"/>
              </w:rPr>
              <w:t>科普动画视频发布</w:t>
            </w:r>
          </w:p>
        </w:tc>
        <w:tc>
          <w:tcPr>
            <w:tcW w:w="970" w:type="dxa"/>
          </w:tcPr>
          <w:p w14:paraId="737B7166">
            <w:pPr>
              <w:spacing w:line="360" w:lineRule="auto"/>
              <w:rPr>
                <w:rFonts w:hint="eastAsia"/>
                <w:color w:val="auto"/>
                <w:sz w:val="24"/>
                <w:szCs w:val="24"/>
                <w:lang w:val="en-US" w:eastAsia="zh-CN"/>
              </w:rPr>
            </w:pPr>
          </w:p>
          <w:p w14:paraId="39A7D9EF">
            <w:pPr>
              <w:spacing w:line="360" w:lineRule="auto"/>
              <w:rPr>
                <w:rFonts w:hint="eastAsia"/>
                <w:color w:val="auto"/>
                <w:sz w:val="24"/>
                <w:szCs w:val="24"/>
                <w:lang w:val="en-US" w:eastAsia="zh-CN"/>
              </w:rPr>
            </w:pPr>
          </w:p>
          <w:p w14:paraId="4E698065">
            <w:pPr>
              <w:spacing w:line="360" w:lineRule="auto"/>
              <w:rPr>
                <w:rFonts w:hint="default"/>
                <w:color w:val="auto"/>
                <w:sz w:val="24"/>
                <w:szCs w:val="24"/>
                <w:lang w:val="en-US" w:eastAsia="zh-CN"/>
              </w:rPr>
            </w:pPr>
            <w:r>
              <w:rPr>
                <w:rFonts w:hint="eastAsia"/>
                <w:color w:val="auto"/>
                <w:sz w:val="24"/>
                <w:szCs w:val="24"/>
                <w:lang w:val="en-US" w:eastAsia="zh-CN"/>
              </w:rPr>
              <w:t>1条</w:t>
            </w:r>
          </w:p>
        </w:tc>
        <w:tc>
          <w:tcPr>
            <w:tcW w:w="970" w:type="dxa"/>
            <w:shd w:val="clear" w:color="auto" w:fill="auto"/>
            <w:vAlign w:val="center"/>
          </w:tcPr>
          <w:p w14:paraId="7CF373F4">
            <w:pPr>
              <w:spacing w:line="360" w:lineRule="auto"/>
              <w:rPr>
                <w:rFonts w:hint="default"/>
                <w:color w:val="auto"/>
                <w:sz w:val="24"/>
                <w:szCs w:val="24"/>
                <w:lang w:val="en-US" w:eastAsia="zh-CN"/>
              </w:rPr>
            </w:pPr>
            <w:r>
              <w:rPr>
                <w:rFonts w:hint="eastAsia"/>
                <w:color w:val="auto"/>
                <w:sz w:val="24"/>
                <w:szCs w:val="24"/>
                <w:lang w:val="en-US" w:eastAsia="zh-CN"/>
              </w:rPr>
              <w:t>3分钟</w:t>
            </w:r>
          </w:p>
        </w:tc>
        <w:tc>
          <w:tcPr>
            <w:tcW w:w="1000" w:type="dxa"/>
            <w:shd w:val="clear" w:color="auto" w:fill="auto"/>
            <w:vAlign w:val="center"/>
          </w:tcPr>
          <w:p w14:paraId="0C7CEEBB">
            <w:pPr>
              <w:spacing w:line="360" w:lineRule="auto"/>
              <w:rPr>
                <w:rFonts w:hint="default"/>
                <w:color w:val="auto"/>
                <w:sz w:val="24"/>
                <w:szCs w:val="24"/>
                <w:lang w:val="en-US" w:eastAsia="zh-CN"/>
              </w:rPr>
            </w:pPr>
            <w:r>
              <w:rPr>
                <w:rFonts w:hint="eastAsia"/>
                <w:color w:val="auto"/>
                <w:sz w:val="24"/>
                <w:szCs w:val="24"/>
                <w:lang w:val="en-US" w:eastAsia="zh-CN"/>
              </w:rPr>
              <w:t>3000</w:t>
            </w:r>
          </w:p>
        </w:tc>
        <w:tc>
          <w:tcPr>
            <w:tcW w:w="1280" w:type="dxa"/>
          </w:tcPr>
          <w:p w14:paraId="133BF937">
            <w:pPr>
              <w:spacing w:line="360" w:lineRule="auto"/>
              <w:rPr>
                <w:rFonts w:hint="eastAsia"/>
                <w:color w:val="auto"/>
                <w:sz w:val="24"/>
                <w:szCs w:val="24"/>
                <w:lang w:val="en-US" w:eastAsia="zh-CN"/>
              </w:rPr>
            </w:pPr>
          </w:p>
          <w:p w14:paraId="61FC9089">
            <w:pPr>
              <w:spacing w:line="360" w:lineRule="auto"/>
              <w:rPr>
                <w:rFonts w:hint="eastAsia"/>
                <w:color w:val="auto"/>
                <w:sz w:val="24"/>
                <w:szCs w:val="24"/>
                <w:lang w:val="en-US" w:eastAsia="zh-CN"/>
              </w:rPr>
            </w:pPr>
          </w:p>
          <w:p w14:paraId="00AFCE04">
            <w:pPr>
              <w:spacing w:line="360" w:lineRule="auto"/>
              <w:rPr>
                <w:rFonts w:hint="default"/>
                <w:color w:val="auto"/>
                <w:sz w:val="24"/>
                <w:szCs w:val="24"/>
                <w:lang w:val="en-US" w:eastAsia="zh-CN"/>
              </w:rPr>
            </w:pPr>
            <w:r>
              <w:rPr>
                <w:rFonts w:hint="eastAsia"/>
                <w:color w:val="auto"/>
                <w:sz w:val="24"/>
                <w:szCs w:val="24"/>
                <w:lang w:val="en-US" w:eastAsia="zh-CN"/>
              </w:rPr>
              <w:t>3000</w:t>
            </w:r>
          </w:p>
        </w:tc>
        <w:tc>
          <w:tcPr>
            <w:tcW w:w="1950" w:type="dxa"/>
          </w:tcPr>
          <w:p w14:paraId="321C4DE3">
            <w:pPr>
              <w:spacing w:line="360" w:lineRule="auto"/>
              <w:rPr>
                <w:rFonts w:hint="default"/>
                <w:color w:val="auto"/>
                <w:sz w:val="24"/>
                <w:szCs w:val="24"/>
                <w:lang w:val="en-US" w:eastAsia="zh-CN"/>
              </w:rPr>
            </w:pPr>
            <w:r>
              <w:rPr>
                <w:rFonts w:hint="eastAsia" w:ascii="宋体" w:hAnsi="宋体" w:eastAsia="宋体" w:cs="宋体"/>
                <w:b w:val="0"/>
                <w:bCs w:val="0"/>
                <w:color w:val="auto"/>
                <w:sz w:val="24"/>
                <w:szCs w:val="24"/>
                <w:lang w:val="en-US" w:eastAsia="zh-CN"/>
              </w:rPr>
              <w:t>粉丝数500万以上，播放量不少于5万人次</w:t>
            </w:r>
          </w:p>
        </w:tc>
      </w:tr>
      <w:tr w14:paraId="6B94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318" w:type="dxa"/>
            <w:shd w:val="clear" w:color="auto" w:fill="auto"/>
            <w:vAlign w:val="top"/>
          </w:tcPr>
          <w:p w14:paraId="2B5E19AA">
            <w:pPr>
              <w:spacing w:line="360" w:lineRule="auto"/>
              <w:rPr>
                <w:rFonts w:hint="eastAsia"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网页推文</w:t>
            </w:r>
          </w:p>
        </w:tc>
        <w:tc>
          <w:tcPr>
            <w:tcW w:w="2203" w:type="dxa"/>
            <w:shd w:val="clear" w:color="auto" w:fill="auto"/>
            <w:vAlign w:val="top"/>
          </w:tcPr>
          <w:p w14:paraId="10DBC283">
            <w:pPr>
              <w:spacing w:line="360" w:lineRule="auto"/>
              <w:rPr>
                <w:rFonts w:hint="eastAsia"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相关主题活动宣传</w:t>
            </w:r>
          </w:p>
        </w:tc>
        <w:tc>
          <w:tcPr>
            <w:tcW w:w="970" w:type="dxa"/>
            <w:shd w:val="clear" w:color="auto" w:fill="auto"/>
            <w:vAlign w:val="top"/>
          </w:tcPr>
          <w:p w14:paraId="47211663">
            <w:pPr>
              <w:spacing w:line="360" w:lineRule="auto"/>
              <w:rPr>
                <w:rFonts w:hint="eastAsia"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1条</w:t>
            </w:r>
          </w:p>
        </w:tc>
        <w:tc>
          <w:tcPr>
            <w:tcW w:w="970" w:type="dxa"/>
            <w:shd w:val="clear" w:color="auto" w:fill="auto"/>
            <w:vAlign w:val="center"/>
          </w:tcPr>
          <w:p w14:paraId="66FB293E">
            <w:pPr>
              <w:spacing w:line="360" w:lineRule="auto"/>
              <w:rPr>
                <w:rFonts w:hint="eastAsia"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w:t>
            </w:r>
          </w:p>
        </w:tc>
        <w:tc>
          <w:tcPr>
            <w:tcW w:w="1000" w:type="dxa"/>
            <w:shd w:val="clear" w:color="auto" w:fill="auto"/>
            <w:vAlign w:val="center"/>
          </w:tcPr>
          <w:p w14:paraId="11E8B04C">
            <w:pPr>
              <w:spacing w:line="360" w:lineRule="auto"/>
              <w:rPr>
                <w:rFonts w:hint="default"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2000</w:t>
            </w:r>
          </w:p>
        </w:tc>
        <w:tc>
          <w:tcPr>
            <w:tcW w:w="1280" w:type="dxa"/>
            <w:shd w:val="clear" w:color="auto" w:fill="auto"/>
            <w:vAlign w:val="top"/>
          </w:tcPr>
          <w:p w14:paraId="02E758AE">
            <w:pPr>
              <w:spacing w:line="360" w:lineRule="auto"/>
              <w:rPr>
                <w:rFonts w:hint="default" w:asciiTheme="minorHAnsi" w:hAnsiTheme="minorHAnsi" w:eastAsiaTheme="minorEastAsia" w:cstheme="minorBidi"/>
                <w:color w:val="auto"/>
                <w:kern w:val="2"/>
                <w:sz w:val="24"/>
                <w:szCs w:val="24"/>
                <w:lang w:val="en-US" w:eastAsia="zh-CN" w:bidi="ar-SA"/>
              </w:rPr>
            </w:pPr>
            <w:r>
              <w:rPr>
                <w:rFonts w:hint="eastAsia"/>
                <w:color w:val="auto"/>
                <w:sz w:val="24"/>
                <w:szCs w:val="24"/>
                <w:lang w:val="en-US" w:eastAsia="zh-CN"/>
              </w:rPr>
              <w:t>2000</w:t>
            </w:r>
          </w:p>
        </w:tc>
        <w:tc>
          <w:tcPr>
            <w:tcW w:w="1950" w:type="dxa"/>
            <w:shd w:val="clear" w:color="auto" w:fill="auto"/>
            <w:vAlign w:val="top"/>
          </w:tcPr>
          <w:p w14:paraId="7A58491E">
            <w:pPr>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市级及以上新闻官方网页</w:t>
            </w:r>
          </w:p>
        </w:tc>
      </w:tr>
      <w:tr w14:paraId="49C3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741" w:type="dxa"/>
            <w:gridSpan w:val="6"/>
          </w:tcPr>
          <w:p w14:paraId="7E16EA9A">
            <w:pPr>
              <w:spacing w:line="360" w:lineRule="auto"/>
              <w:jc w:val="center"/>
              <w:rPr>
                <w:rFonts w:hint="eastAsia"/>
                <w:color w:val="auto"/>
                <w:sz w:val="24"/>
                <w:szCs w:val="24"/>
                <w:lang w:val="en-US" w:eastAsia="zh-CN"/>
              </w:rPr>
            </w:pPr>
            <w:r>
              <w:rPr>
                <w:rFonts w:hint="eastAsia"/>
                <w:color w:val="auto"/>
                <w:sz w:val="24"/>
                <w:szCs w:val="24"/>
                <w:lang w:val="en-US" w:eastAsia="zh-CN"/>
              </w:rPr>
              <w:t>合计：50000（元）</w:t>
            </w:r>
          </w:p>
        </w:tc>
        <w:tc>
          <w:tcPr>
            <w:tcW w:w="1950" w:type="dxa"/>
          </w:tcPr>
          <w:p w14:paraId="57ED1CBF">
            <w:pPr>
              <w:spacing w:line="360" w:lineRule="auto"/>
              <w:jc w:val="center"/>
              <w:rPr>
                <w:rFonts w:hint="eastAsia"/>
                <w:color w:val="auto"/>
                <w:sz w:val="24"/>
                <w:szCs w:val="24"/>
                <w:lang w:val="en-US" w:eastAsia="zh-CN"/>
              </w:rPr>
            </w:pPr>
          </w:p>
        </w:tc>
      </w:tr>
    </w:tbl>
    <w:p w14:paraId="3AB9C8FA">
      <w:pPr>
        <w:numPr>
          <w:ilvl w:val="0"/>
          <w:numId w:val="0"/>
        </w:numPr>
        <w:spacing w:line="360" w:lineRule="auto"/>
        <w:ind w:leftChars="0"/>
        <w:rPr>
          <w:rFonts w:hint="default" w:ascii="华文仿宋" w:hAnsi="华文仿宋" w:eastAsia="华文仿宋" w:cs="华文仿宋"/>
          <w:b/>
          <w:bCs/>
          <w:sz w:val="28"/>
          <w:szCs w:val="36"/>
          <w:lang w:val="en-US" w:eastAsia="zh-CN"/>
        </w:rPr>
      </w:pPr>
      <w:bookmarkStart w:id="0" w:name="_GoBack"/>
      <w:bookmarkEnd w:id="0"/>
    </w:p>
    <w:p w14:paraId="3E5AFDAF">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D460C"/>
    <w:multiLevelType w:val="singleLevel"/>
    <w:tmpl w:val="86DD460C"/>
    <w:lvl w:ilvl="0" w:tentative="0">
      <w:start w:val="1"/>
      <w:numFmt w:val="decimal"/>
      <w:lvlText w:val="%1."/>
      <w:lvlJc w:val="left"/>
      <w:pPr>
        <w:ind w:left="425" w:hanging="425"/>
      </w:pPr>
      <w:rPr>
        <w:rFonts w:hint="default"/>
      </w:rPr>
    </w:lvl>
  </w:abstractNum>
  <w:abstractNum w:abstractNumId="1">
    <w:nsid w:val="B476EF1A"/>
    <w:multiLevelType w:val="singleLevel"/>
    <w:tmpl w:val="B476EF1A"/>
    <w:lvl w:ilvl="0" w:tentative="0">
      <w:start w:val="1"/>
      <w:numFmt w:val="chineseCounting"/>
      <w:suff w:val="nothing"/>
      <w:lvlText w:val="（%1）"/>
      <w:lvlJc w:val="left"/>
      <w:pPr>
        <w:ind w:left="0" w:firstLine="0"/>
      </w:pPr>
      <w:rPr>
        <w:rFonts w:hint="eastAsia"/>
      </w:rPr>
    </w:lvl>
  </w:abstractNum>
  <w:abstractNum w:abstractNumId="2">
    <w:nsid w:val="C04C5AA5"/>
    <w:multiLevelType w:val="singleLevel"/>
    <w:tmpl w:val="C04C5AA5"/>
    <w:lvl w:ilvl="0" w:tentative="0">
      <w:start w:val="1"/>
      <w:numFmt w:val="decimal"/>
      <w:lvlText w:val="(%1)"/>
      <w:lvlJc w:val="left"/>
      <w:pPr>
        <w:ind w:left="425" w:hanging="425"/>
      </w:pPr>
      <w:rPr>
        <w:rFonts w:hint="default"/>
      </w:rPr>
    </w:lvl>
  </w:abstractNum>
  <w:abstractNum w:abstractNumId="3">
    <w:nsid w:val="D28B8C84"/>
    <w:multiLevelType w:val="multilevel"/>
    <w:tmpl w:val="D28B8C84"/>
    <w:lvl w:ilvl="0" w:tentative="0">
      <w:start w:val="1"/>
      <w:numFmt w:val="decimal"/>
      <w:lvlText w:val="(%1)"/>
      <w:lvlJc w:val="left"/>
      <w:pPr>
        <w:ind w:left="425" w:hanging="425"/>
      </w:pPr>
      <w:rPr>
        <w:rFonts w:hint="default"/>
      </w:rPr>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18D44A3D"/>
    <w:multiLevelType w:val="singleLevel"/>
    <w:tmpl w:val="18D44A3D"/>
    <w:lvl w:ilvl="0" w:tentative="0">
      <w:start w:val="1"/>
      <w:numFmt w:val="decimal"/>
      <w:lvlText w:val="%1."/>
      <w:lvlJc w:val="left"/>
      <w:pPr>
        <w:ind w:left="425" w:hanging="425"/>
      </w:pPr>
      <w:rPr>
        <w:rFont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2115BF"/>
    <w:rsid w:val="4CA24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widowControl w:val="0"/>
      <w:spacing w:after="120" w:afterAutospacing="0"/>
      <w:jc w:val="both"/>
    </w:pPr>
    <w:rPr>
      <w:rFonts w:ascii="Times New Roman" w:hAnsi="Times New Roman" w:eastAsia="仿宋_GB2312" w:cs="Times New Roman"/>
      <w:kern w:val="2"/>
      <w:sz w:val="32"/>
      <w:szCs w:val="24"/>
      <w:lang w:val="en-US" w:eastAsia="zh-CN"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99"/>
    <w:rPr>
      <w:rFonts w:cs="Calibri"/>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1326</Words>
  <Characters>1525</Characters>
  <Lines>0</Lines>
  <Paragraphs>0</Paragraphs>
  <TotalTime>0</TotalTime>
  <ScaleCrop>false</ScaleCrop>
  <LinksUpToDate>false</LinksUpToDate>
  <CharactersWithSpaces>1533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2025-06-09T03:31:00Z</dcterms:created>
  <dc:creator>shorm</dc:creator>
  <cp:lastModifiedBy>WPS_1591173669</cp:lastModifiedBy>
  <dcterms:modified xsi:type="dcterms:W3CDTF">2025-06-10T06:54:59Z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eyJoZGlkIjoiMTRlMzlkMzU4Y2YzODZkYTM3N2FhMTM0ZjY1ZDFlZWEiLCJ1c2VySWQiOiIxMDA1NDQyNzE2In0=</vt:lpwstr>
  </property>
  <property fmtid="{D5CDD505-2E9C-101B-9397-08002B2CF9AE}" pid="4" name="ICV">
    <vt:lpwstr>F9EE0FDF5EC4443792709F08BEB86B2A_12</vt:lpwstr>
  </property>
</Properties>
</file>