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D959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rPr>
      </w:pPr>
    </w:p>
    <w:p w14:paraId="27806F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健康素养系列动画短片福州方言版配音服务项目要求清单</w:t>
      </w:r>
    </w:p>
    <w:p w14:paraId="78D501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p>
    <w:p w14:paraId="6A1DA5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lang w:val="en-US" w:eastAsia="zh-CN"/>
        </w:rPr>
        <w:t>项目服务内容</w:t>
      </w:r>
    </w:p>
    <w:p w14:paraId="2B492C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福建</w:t>
      </w:r>
      <w:r>
        <w:rPr>
          <w:rFonts w:hint="default" w:ascii="仿宋_GB2312" w:hAnsi="仿宋_GB2312" w:eastAsia="仿宋_GB2312" w:cs="仿宋_GB2312"/>
          <w:color w:val="auto"/>
          <w:sz w:val="32"/>
          <w:szCs w:val="32"/>
          <w:lang w:eastAsia="zh-CN"/>
        </w:rPr>
        <w:t>省疾控中心已牵头完成健康素养66条动画短片的画面制作，并配套制作了普通话版配音。为提高健康素养66条在我市居民中的知晓率和理解度，切实打通健康科普传播的“最后一公里”，我</w:t>
      </w:r>
      <w:r>
        <w:rPr>
          <w:rFonts w:hint="eastAsia" w:ascii="仿宋_GB2312" w:hAnsi="仿宋_GB2312" w:eastAsia="仿宋_GB2312" w:cs="仿宋_GB2312"/>
          <w:color w:val="auto"/>
          <w:sz w:val="32"/>
          <w:szCs w:val="32"/>
          <w:lang w:eastAsia="zh-CN"/>
        </w:rPr>
        <w:t>中心</w:t>
      </w:r>
      <w:r>
        <w:rPr>
          <w:rFonts w:hint="default" w:ascii="仿宋_GB2312" w:hAnsi="仿宋_GB2312" w:eastAsia="仿宋_GB2312" w:cs="仿宋_GB2312"/>
          <w:color w:val="auto"/>
          <w:sz w:val="32"/>
          <w:szCs w:val="32"/>
          <w:lang w:eastAsia="zh-CN"/>
        </w:rPr>
        <w:t>作为承办单位之一，拟在省疾控普通话版的基础上，增配一套</w:t>
      </w:r>
      <w:r>
        <w:rPr>
          <w:rFonts w:hint="eastAsia" w:ascii="仿宋_GB2312" w:hAnsi="仿宋_GB2312" w:eastAsia="仿宋_GB2312" w:cs="仿宋_GB2312"/>
          <w:color w:val="auto"/>
          <w:sz w:val="32"/>
          <w:szCs w:val="32"/>
          <w:lang w:eastAsia="zh-CN"/>
        </w:rPr>
        <w:t>福州方言</w:t>
      </w:r>
      <w:r>
        <w:rPr>
          <w:rFonts w:hint="default" w:ascii="仿宋_GB2312" w:hAnsi="仿宋_GB2312" w:eastAsia="仿宋_GB2312" w:cs="仿宋_GB2312"/>
          <w:color w:val="auto"/>
          <w:sz w:val="32"/>
          <w:szCs w:val="32"/>
          <w:lang w:eastAsia="zh-CN"/>
        </w:rPr>
        <w:t>版配音，形成“普通话+</w:t>
      </w:r>
      <w:r>
        <w:rPr>
          <w:rFonts w:hint="eastAsia" w:ascii="仿宋_GB2312" w:hAnsi="仿宋_GB2312" w:eastAsia="仿宋_GB2312" w:cs="仿宋_GB2312"/>
          <w:color w:val="auto"/>
          <w:sz w:val="32"/>
          <w:szCs w:val="32"/>
          <w:lang w:eastAsia="zh-CN"/>
        </w:rPr>
        <w:t>福州方言</w:t>
      </w:r>
      <w:r>
        <w:rPr>
          <w:rFonts w:hint="default" w:ascii="仿宋_GB2312" w:hAnsi="仿宋_GB2312" w:eastAsia="仿宋_GB2312" w:cs="仿宋_GB2312"/>
          <w:color w:val="auto"/>
          <w:sz w:val="32"/>
          <w:szCs w:val="32"/>
          <w:lang w:eastAsia="zh-CN"/>
        </w:rPr>
        <w:t>”双语音频版本，以满足我市不同居民群体的需求，体现因地制宜、精准科普的工作理念</w:t>
      </w:r>
      <w:r>
        <w:rPr>
          <w:rFonts w:hint="eastAsia" w:ascii="仿宋_GB2312" w:hAnsi="仿宋_GB2312" w:eastAsia="仿宋_GB2312" w:cs="仿宋_GB2312"/>
          <w:color w:val="auto"/>
          <w:sz w:val="32"/>
          <w:szCs w:val="32"/>
          <w:lang w:eastAsia="zh-CN"/>
        </w:rPr>
        <w:t>，同时</w:t>
      </w:r>
      <w:r>
        <w:rPr>
          <w:rFonts w:hint="default" w:ascii="仿宋_GB2312" w:hAnsi="仿宋_GB2312" w:eastAsia="仿宋_GB2312" w:cs="仿宋_GB2312"/>
          <w:color w:val="auto"/>
          <w:sz w:val="32"/>
          <w:szCs w:val="32"/>
          <w:lang w:eastAsia="zh-CN"/>
        </w:rPr>
        <w:t>有效覆盖福州方言使用群体，切实提高</w:t>
      </w:r>
      <w:r>
        <w:rPr>
          <w:rFonts w:hint="eastAsia" w:ascii="仿宋_GB2312" w:hAnsi="仿宋_GB2312" w:eastAsia="仿宋_GB2312" w:cs="仿宋_GB2312"/>
          <w:color w:val="auto"/>
          <w:sz w:val="32"/>
          <w:szCs w:val="32"/>
          <w:lang w:eastAsia="zh-CN"/>
        </w:rPr>
        <w:t>我市居民整体</w:t>
      </w:r>
      <w:r>
        <w:rPr>
          <w:rFonts w:hint="default" w:ascii="仿宋_GB2312" w:hAnsi="仿宋_GB2312" w:eastAsia="仿宋_GB2312" w:cs="仿宋_GB2312"/>
          <w:color w:val="auto"/>
          <w:sz w:val="32"/>
          <w:szCs w:val="32"/>
          <w:lang w:eastAsia="zh-CN"/>
        </w:rPr>
        <w:t>健康素养水平</w:t>
      </w:r>
      <w:r>
        <w:rPr>
          <w:rFonts w:hint="eastAsia" w:ascii="仿宋_GB2312" w:hAnsi="仿宋_GB2312" w:eastAsia="仿宋_GB2312" w:cs="仿宋_GB2312"/>
          <w:color w:val="auto"/>
          <w:sz w:val="32"/>
          <w:szCs w:val="32"/>
          <w:lang w:eastAsia="zh-CN"/>
        </w:rPr>
        <w:t>。</w:t>
      </w:r>
    </w:p>
    <w:p w14:paraId="5C97928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01C849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670596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272AB7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6BEDD1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74CECB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62EC157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p w14:paraId="3DF7E8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4"/>
        <w:gridCol w:w="4290"/>
        <w:gridCol w:w="1665"/>
      </w:tblGrid>
      <w:tr w14:paraId="0185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4" w:type="dxa"/>
          </w:tcPr>
          <w:p w14:paraId="3A46A135">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项目服务内容</w:t>
            </w:r>
          </w:p>
        </w:tc>
        <w:tc>
          <w:tcPr>
            <w:tcW w:w="4290" w:type="dxa"/>
          </w:tcPr>
          <w:p w14:paraId="6DC678CF">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项目技术要求</w:t>
            </w:r>
          </w:p>
        </w:tc>
        <w:tc>
          <w:tcPr>
            <w:tcW w:w="1665" w:type="dxa"/>
          </w:tcPr>
          <w:p w14:paraId="3D06B1FA">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项目预算金额</w:t>
            </w:r>
          </w:p>
        </w:tc>
      </w:tr>
      <w:tr w14:paraId="2B7F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0" w:hRule="atLeast"/>
        </w:trPr>
        <w:tc>
          <w:tcPr>
            <w:tcW w:w="2904" w:type="dxa"/>
          </w:tcPr>
          <w:p w14:paraId="05360FA4">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val="en-US" w:eastAsia="zh-CN"/>
              </w:rPr>
              <w:t>1.</w:t>
            </w:r>
            <w:r>
              <w:rPr>
                <w:rFonts w:hint="eastAsia" w:ascii="仿宋_GB2312" w:hAnsi="仿宋_GB2312" w:eastAsia="仿宋_GB2312" w:cs="仿宋_GB2312"/>
                <w:color w:val="auto"/>
                <w:sz w:val="21"/>
                <w:szCs w:val="21"/>
                <w:vertAlign w:val="baseline"/>
                <w:lang w:eastAsia="zh-CN"/>
              </w:rPr>
              <w:t>完成由中心采购人指定的</w:t>
            </w:r>
            <w:r>
              <w:rPr>
                <w:rFonts w:hint="eastAsia" w:ascii="仿宋_GB2312" w:hAnsi="仿宋_GB2312" w:eastAsia="仿宋_GB2312" w:cs="仿宋_GB2312"/>
                <w:color w:val="auto"/>
                <w:sz w:val="21"/>
                <w:szCs w:val="21"/>
                <w:vertAlign w:val="baseline"/>
                <w:lang w:val="en-US" w:eastAsia="zh-CN"/>
              </w:rPr>
              <w:t>43</w:t>
            </w:r>
            <w:r>
              <w:rPr>
                <w:rFonts w:hint="eastAsia" w:ascii="仿宋_GB2312" w:hAnsi="仿宋_GB2312" w:eastAsia="仿宋_GB2312" w:cs="仿宋_GB2312"/>
                <w:color w:val="auto"/>
                <w:sz w:val="21"/>
                <w:szCs w:val="21"/>
                <w:vertAlign w:val="baseline"/>
                <w:lang w:eastAsia="zh-CN"/>
              </w:rPr>
              <w:t>条健康素养系列动画短片的配音工作，配音内容与动画画面精准同步，音频质量达到广播级播出标准。</w:t>
            </w:r>
          </w:p>
          <w:p w14:paraId="15CAE947">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val="en-US" w:eastAsia="zh-CN"/>
              </w:rPr>
              <w:t>2.</w:t>
            </w:r>
            <w:r>
              <w:rPr>
                <w:rFonts w:hint="eastAsia" w:ascii="仿宋_GB2312" w:hAnsi="仿宋_GB2312" w:eastAsia="仿宋_GB2312" w:cs="仿宋_GB2312"/>
                <w:color w:val="auto"/>
                <w:sz w:val="21"/>
                <w:szCs w:val="21"/>
                <w:vertAlign w:val="baseline"/>
                <w:lang w:eastAsia="zh-CN"/>
              </w:rPr>
              <w:t>交付成品为经过专业降噪处理、音量均衡、无杂音失真的高质量配音音频文件，与动画视频合成后可直接用于各类宣传平台播放。</w:t>
            </w:r>
          </w:p>
        </w:tc>
        <w:tc>
          <w:tcPr>
            <w:tcW w:w="4290" w:type="dxa"/>
          </w:tcPr>
          <w:p w14:paraId="4D36B32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1.动画短片配音制作须配备符合录音标准的高质录音棚、混响设备及专业调音师须具备录音艺术专业（需提供毕业证书）。</w:t>
            </w:r>
          </w:p>
          <w:p w14:paraId="4FFC704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2.邀请具备广播剧监制经验的专业制作者为动画短片配音制作监制，广播剧监制须具备记者或编辑中级及中级以上职称（需提供职称证书）。</w:t>
            </w:r>
          </w:p>
          <w:p w14:paraId="5D14405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3.邀请具有国家广电总局颁发的广播电视播音员主持人执业资格证书的主持人进行指导，播音员主持人须具备中级及中级以上职称（需提供职称证书）。</w:t>
            </w:r>
          </w:p>
          <w:p w14:paraId="41ABA3A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4.配音人员须以福州方言为</w:t>
            </w:r>
            <w:bookmarkStart w:id="0" w:name="_GoBack"/>
            <w:bookmarkEnd w:id="0"/>
            <w:r>
              <w:rPr>
                <w:rFonts w:hint="eastAsia" w:ascii="仿宋_GB2312" w:hAnsi="仿宋_GB2312" w:eastAsia="仿宋_GB2312" w:cs="仿宋_GB2312"/>
                <w:color w:val="auto"/>
                <w:sz w:val="21"/>
                <w:szCs w:val="21"/>
                <w:vertAlign w:val="baseline"/>
                <w:lang w:val="en-US" w:eastAsia="zh-CN"/>
              </w:rPr>
              <w:t>母语或精通福州方言，发音地道、语调自然，能准确传达健康科普内容的专业性和通俗性。</w:t>
            </w:r>
          </w:p>
          <w:p w14:paraId="48236F6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5.该项目需供应商指定专人对接，按我中心要求完成配音录制、音频编辑、降噪处理、与动画画面同步合成等工作。</w:t>
            </w:r>
          </w:p>
          <w:p w14:paraId="4F3CD29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6.动画短片配音制作完成后须在不少于2家市级及以上广播媒体进行投放，广播频率每天播出合计不少于12次，单次播放时长为3分钟。</w:t>
            </w:r>
          </w:p>
          <w:p w14:paraId="548E0ED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7.该项目主要针对提高福州市民开展相关健康素养宣传，需满足官方融媒体平台播放。</w:t>
            </w:r>
          </w:p>
          <w:p w14:paraId="78BC814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8.项目执行过程中如有变化，须及时与采购人书面协商，经采购人相关科室同意后，方可变更；项目如有变更，变更内容或标准不得低于现有要求。否则降低标准的变更存在预算与变更后条款不匹配的问题。</w:t>
            </w:r>
          </w:p>
          <w:p w14:paraId="77E7778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9.供应商应保证系列动画短片不以活动现场为宣传媒介或营销手段为企业进行商业宣传或营销。</w:t>
            </w:r>
          </w:p>
          <w:p w14:paraId="7AC1F35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vertAlign w:val="baseline"/>
                <w:lang w:val="en-US" w:eastAsia="zh-CN"/>
              </w:rPr>
              <w:t>10.</w:t>
            </w:r>
            <w:r>
              <w:rPr>
                <w:rFonts w:hint="eastAsia" w:ascii="仿宋_GB2312" w:hAnsi="仿宋_GB2312" w:eastAsia="仿宋_GB2312" w:cs="仿宋_GB2312"/>
                <w:color w:val="auto"/>
                <w:sz w:val="21"/>
                <w:szCs w:val="21"/>
                <w:vertAlign w:val="baseline"/>
                <w:lang w:eastAsia="zh-CN"/>
              </w:rPr>
              <w:t>本次项目所制作的系列动画短片（福州方言版）版权归福州市疾病预防控制中心（福州市卫生健康监督所）所有。</w:t>
            </w:r>
          </w:p>
        </w:tc>
        <w:tc>
          <w:tcPr>
            <w:tcW w:w="1665" w:type="dxa"/>
          </w:tcPr>
          <w:p w14:paraId="5ECAEC27">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43000元</w:t>
            </w:r>
          </w:p>
        </w:tc>
      </w:tr>
    </w:tbl>
    <w:p w14:paraId="52BE0F08">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eastAsia="zh-CN"/>
        </w:rPr>
      </w:pPr>
    </w:p>
    <w:p w14:paraId="6FCF79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rPr>
        <w:t>项目商务要求</w:t>
      </w:r>
    </w:p>
    <w:p w14:paraId="2B9EC511">
      <w:pPr>
        <w:ind w:firstLine="640" w:firstLineChars="20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1.服务项目于202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日之前完成。</w:t>
      </w:r>
    </w:p>
    <w:p w14:paraId="3A38BC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auto"/>
          <w:sz w:val="32"/>
          <w:szCs w:val="32"/>
        </w:rPr>
        <w:t>合同签订后，所有项目要求内容完成并经验收合格后，成交人向采购人提供成交金额100.0%的发票，经采购人财务审核无误，支付合同总金额100.0%。计划支付日期与实际支付日期不符的，以实际支付时间为准</w:t>
      </w:r>
      <w:r>
        <w:rPr>
          <w:rFonts w:hint="eastAsia" w:ascii="仿宋_GB2312" w:hAnsi="仿宋_GB2312" w:eastAsia="仿宋_GB2312" w:cs="仿宋_GB2312"/>
          <w:sz w:val="32"/>
          <w:szCs w:val="32"/>
        </w:rPr>
        <w:t>。</w:t>
      </w:r>
    </w:p>
    <w:p w14:paraId="72A708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cs="仿宋_GB2312"/>
          <w:color w:val="auto"/>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供应商逾期履行服务的，应按逾期交付总额每日</w:t>
      </w:r>
      <w:r>
        <w:rPr>
          <w:rFonts w:hint="eastAsia" w:ascii="仿宋_GB2312" w:hAnsi="仿宋_GB2312" w:eastAsia="仿宋_GB2312" w:cs="仿宋_GB2312"/>
          <w:sz w:val="32"/>
          <w:szCs w:val="32"/>
          <w:lang w:val="en-US" w:eastAsia="zh-CN"/>
        </w:rPr>
        <w:t>1%向</w:t>
      </w:r>
      <w:r>
        <w:rPr>
          <w:rFonts w:hint="eastAsia" w:ascii="仿宋_GB2312" w:hAnsi="仿宋_GB2312" w:eastAsia="仿宋_GB2312" w:cs="仿宋_GB2312"/>
          <w:sz w:val="32"/>
          <w:szCs w:val="32"/>
        </w:rPr>
        <w:t>福州市疾病预防控制中心（福州市卫生健康监督所）</w:t>
      </w:r>
      <w:r>
        <w:rPr>
          <w:rFonts w:hint="eastAsia" w:ascii="仿宋_GB2312" w:hAnsi="仿宋_GB2312" w:eastAsia="仿宋_GB2312" w:cs="仿宋_GB2312"/>
          <w:sz w:val="32"/>
          <w:szCs w:val="32"/>
          <w:lang w:val="en-US" w:eastAsia="zh-CN"/>
        </w:rPr>
        <w:t>支付违约金，由</w:t>
      </w:r>
      <w:r>
        <w:rPr>
          <w:rFonts w:hint="eastAsia" w:ascii="仿宋_GB2312" w:hAnsi="仿宋_GB2312" w:eastAsia="仿宋_GB2312" w:cs="仿宋_GB2312"/>
          <w:sz w:val="32"/>
          <w:szCs w:val="32"/>
        </w:rPr>
        <w:t>福州市疾病预防控制中心（福州市卫生健康监督所）</w:t>
      </w:r>
      <w:r>
        <w:rPr>
          <w:rFonts w:hint="eastAsia" w:ascii="仿宋_GB2312" w:hAnsi="仿宋_GB2312" w:eastAsia="仿宋_GB2312" w:cs="仿宋_GB2312"/>
          <w:sz w:val="32"/>
          <w:szCs w:val="32"/>
          <w:lang w:val="en-US" w:eastAsia="zh-CN"/>
        </w:rPr>
        <w:t>从待付款中扣除。供应商无正当理由逾期超过约定日期7日仍不能交付的，视为“不按合同约定履约”。</w:t>
      </w:r>
    </w:p>
    <w:p w14:paraId="1AE9AC1A">
      <w:pPr>
        <w:pStyle w:val="2"/>
        <w:keepNext w:val="0"/>
        <w:keepLines w:val="0"/>
        <w:pageBreakBefore w:val="0"/>
        <w:kinsoku/>
        <w:wordWrap/>
        <w:overflowPunct/>
        <w:topLinePunct w:val="0"/>
        <w:autoSpaceDE/>
        <w:autoSpaceDN/>
        <w:bidi w:val="0"/>
        <w:spacing w:line="600" w:lineRule="exact"/>
        <w:rPr>
          <w:rFonts w:ascii="仿宋_GB2312" w:hAnsi="仿宋_GB2312" w:cs="仿宋_GB2312"/>
          <w:color w:val="auto"/>
          <w:szCs w:val="32"/>
        </w:rPr>
      </w:pPr>
    </w:p>
    <w:p w14:paraId="00AFA1A9">
      <w:pPr>
        <w:pStyle w:val="2"/>
        <w:keepNext w:val="0"/>
        <w:keepLines w:val="0"/>
        <w:pageBreakBefore w:val="0"/>
        <w:kinsoku/>
        <w:wordWrap/>
        <w:overflowPunct/>
        <w:topLinePunct w:val="0"/>
        <w:autoSpaceDE/>
        <w:autoSpaceDN/>
        <w:bidi w:val="0"/>
        <w:spacing w:line="600" w:lineRule="exact"/>
        <w:jc w:val="center"/>
        <w:rPr>
          <w:rFonts w:hint="eastAsia" w:ascii="方正小标宋简体" w:hAnsi="方正小标宋简体" w:eastAsia="方正小标宋简体" w:cs="方正小标宋简体"/>
          <w:color w:val="auto"/>
          <w:sz w:val="44"/>
          <w:szCs w:val="44"/>
        </w:rPr>
      </w:pPr>
    </w:p>
    <w:p w14:paraId="00DB62A5">
      <w:pPr>
        <w:pStyle w:val="2"/>
        <w:keepNext w:val="0"/>
        <w:keepLines w:val="0"/>
        <w:pageBreakBefore w:val="0"/>
        <w:kinsoku/>
        <w:wordWrap/>
        <w:overflowPunct/>
        <w:topLinePunct w:val="0"/>
        <w:autoSpaceDE/>
        <w:autoSpaceDN/>
        <w:bidi w:val="0"/>
        <w:spacing w:line="600" w:lineRule="exact"/>
        <w:jc w:val="center"/>
        <w:rPr>
          <w:rFonts w:hint="eastAsia" w:ascii="方正小标宋简体" w:hAnsi="方正小标宋简体" w:eastAsia="方正小标宋简体" w:cs="方正小标宋简体"/>
          <w:color w:val="auto"/>
          <w:sz w:val="44"/>
          <w:szCs w:val="44"/>
        </w:rPr>
      </w:pPr>
    </w:p>
    <w:p w14:paraId="5312706D">
      <w:pPr>
        <w:pStyle w:val="2"/>
        <w:keepNext w:val="0"/>
        <w:keepLines w:val="0"/>
        <w:pageBreakBefore w:val="0"/>
        <w:kinsoku/>
        <w:wordWrap/>
        <w:overflowPunct/>
        <w:topLinePunct w:val="0"/>
        <w:autoSpaceDE/>
        <w:autoSpaceDN/>
        <w:bidi w:val="0"/>
        <w:spacing w:line="600" w:lineRule="exact"/>
        <w:jc w:val="center"/>
        <w:rPr>
          <w:rFonts w:hint="eastAsia" w:ascii="方正小标宋简体" w:hAnsi="方正小标宋简体" w:eastAsia="方正小标宋简体" w:cs="方正小标宋简体"/>
          <w:color w:val="auto"/>
          <w:sz w:val="44"/>
          <w:szCs w:val="44"/>
        </w:rPr>
      </w:pPr>
    </w:p>
    <w:p w14:paraId="53038657">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lang w:val="en-US" w:eastAsia="zh-CN"/>
        </w:rPr>
      </w:pPr>
    </w:p>
    <w:p w14:paraId="2F7F46BA">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lang w:val="en-US" w:eastAsia="zh-CN"/>
        </w:rPr>
      </w:pPr>
    </w:p>
    <w:p w14:paraId="0D72B841">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lang w:val="en-US" w:eastAsia="zh-CN"/>
        </w:rPr>
      </w:pPr>
    </w:p>
    <w:p w14:paraId="4E82716F"/>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D2F78E-80C9-4B00-821F-AEBEB49439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75CFF28-A48D-4CE8-A42B-553F24E49CD4}"/>
  </w:font>
  <w:font w:name="仿宋_GB2312">
    <w:panose1 w:val="02010609030101010101"/>
    <w:charset w:val="86"/>
    <w:family w:val="auto"/>
    <w:pitch w:val="default"/>
    <w:sig w:usb0="00000001" w:usb1="080E0000" w:usb2="00000000" w:usb3="00000000" w:csb0="00040000" w:csb1="00000000"/>
    <w:embedRegular r:id="rId3" w:fontKey="{38FCE656-0B33-4AAD-9DEA-1BD815A6C412}"/>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4" w:fontKey="{8AE48382-1EFF-444E-AB58-95C16696CE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436C8">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B4A8FE">
                          <w:pPr>
                            <w:pStyle w:val="3"/>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1B4A8FE">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ABA19D"/>
    <w:multiLevelType w:val="singleLevel"/>
    <w:tmpl w:val="02ABA19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10D69"/>
    <w:rsid w:val="18361990"/>
    <w:rsid w:val="3509084C"/>
    <w:rsid w:val="3CFD6770"/>
    <w:rsid w:val="40577455"/>
    <w:rsid w:val="411D753C"/>
    <w:rsid w:val="4804623F"/>
    <w:rsid w:val="59637764"/>
    <w:rsid w:val="5E962E6E"/>
    <w:rsid w:val="667334C1"/>
    <w:rsid w:val="69906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after="120"/>
      <w:jc w:val="both"/>
    </w:pPr>
    <w:rPr>
      <w:rFonts w:ascii="Times New Roman" w:hAnsi="Times New Roman" w:eastAsia="仿宋_GB2312" w:cs="Times New Roman"/>
      <w:kern w:val="2"/>
      <w:sz w:val="32"/>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99"/>
    <w:rPr>
      <w:rFonts w:cs="Calibri"/>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公文正文"/>
    <w:basedOn w:val="1"/>
    <w:qFormat/>
    <w:uiPriority w:val="0"/>
    <w:pPr>
      <w:spacing w:beforeLines="0" w:afterLines="0" w:line="560" w:lineRule="exact"/>
      <w:ind w:firstLine="880" w:firstLineChars="200"/>
      <w:jc w:val="left"/>
      <w:outlineLvl w:val="0"/>
    </w:pPr>
    <w:rPr>
      <w:rFonts w:ascii="Times New Roman" w:hAnsi="Times New Roman" w:eastAsia="仿宋_GB2312"/>
      <w:sz w:val="32"/>
      <w:szCs w:val="32"/>
    </w:rPr>
  </w:style>
  <w:style w:type="paragraph" w:customStyle="1" w:styleId="8">
    <w:name w:val="二级标题"/>
    <w:basedOn w:val="1"/>
    <w:qFormat/>
    <w:uiPriority w:val="0"/>
    <w:pPr>
      <w:spacing w:beforeLines="0" w:afterLines="0" w:line="560" w:lineRule="exact"/>
      <w:ind w:firstLine="880" w:firstLineChars="200"/>
      <w:jc w:val="left"/>
      <w:outlineLvl w:val="0"/>
    </w:pPr>
    <w:rPr>
      <w:rFonts w:ascii="Calibri" w:hAnsi="Calibri" w:eastAsia="楷体_GB231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80e81e13-347a-4c92-941f-15065b1834bd</errorID>
      <errorWord>需</errorWord>
      <group>L1_Word</group>
      <groupName>字词问题</groupName>
      <ability>L2_Typo</ability>
      <abilityName>字词错误</abilityName>
      <candidateList>
        <item>须</item>
      </candidateList>
      <explain>存在发音相同字词的误用。</explain>
      <paraID>4D36B329</paraID>
      <start>36</start>
      <end>37</end>
      <status>modified</status>
      <modifiedWord>须</modifiedWord>
      <trackRevisions>false</trackRevisions>
    </reviewItem>
    <reviewItem>
      <errorID>c5d7e4e0-9c37-47c9-9e0e-6fba9caffddc</errorID>
      <errorWord>需具备</errorWord>
      <group>L1_Word</group>
      <groupName>字词问题</groupName>
      <ability>L2_Typo</ability>
      <abilityName>字词错误</abilityName>
      <candidateList>
        <item>须具备</item>
      </candidateList>
      <explain/>
      <paraID>4FFC7041</paraID>
      <start>36</start>
      <end>39</end>
      <status>modified</status>
      <modifiedWord>须具备</modifiedWord>
      <trackRevisions>false</trackRevisions>
    </reviewItem>
    <reviewItem>
      <errorID>a4bde9fc-64a3-4488-a8e6-9ed8b0dbb5d0</errorID>
      <errorWord>需</errorWord>
      <group>L1_Word</group>
      <groupName>字词问题</groupName>
      <ability>L2_Typo</ability>
      <abilityName>字词错误</abilityName>
      <candidateList>
        <item>须</item>
      </candidateList>
      <explain>存在发音相同字词的误用。</explain>
      <paraID>5D144055</paraID>
      <start>46</start>
      <end>47</end>
      <status>modified</status>
      <modifiedWord>须</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57dcdb-946d-4baa-b15c-1586fb16ea67}">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1178</Words>
  <Characters>1218</Characters>
  <Lines>0</Lines>
  <Paragraphs>0</Paragraphs>
  <TotalTime>1</TotalTime>
  <ScaleCrop>false</ScaleCrop>
  <LinksUpToDate>false</LinksUpToDate>
  <CharactersWithSpaces>1218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2025-05-13T07:06:00Z</dcterms:created>
  <dc:creator>shorm</dc:creator>
  <cp:lastModifiedBy>不喝奶茶</cp:lastModifiedBy>
  <dcterms:modified xsi:type="dcterms:W3CDTF">2026-09-09T02:12:54Z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eyJoZGlkIjoiMzA3MTJjZmMzNTE5ZTIzYjZkZmI5Y2EwYmRkOGMyMDMiLCJ1c2VySWQiOiIyMDgwNzcwNTEifQ==</vt:lpwstr>
  </property>
  <property fmtid="{D5CDD505-2E9C-101B-9397-08002B2CF9AE}" pid="4" name="ICV">
    <vt:lpwstr>7B98DDEE47D94E05B0173320D4BE9C23_12</vt:lpwstr>
  </property>
</Properties>
</file>