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C0731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一、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项目预算及要求</w:t>
      </w:r>
    </w:p>
    <w:p w14:paraId="1661B729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项目预算：35000元。</w:t>
      </w:r>
    </w:p>
    <w:p w14:paraId="655A74E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项目核心内容围绕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eastAsia="zh-CN" w:bidi="ar"/>
        </w:rPr>
        <w:t>应急指挥大屏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数据后台管理及舆情监测模块升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级展开：一是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对我中心现用的大屏展示系统数据后台开发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了一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个维护平台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。二是对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疾控中心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提供的相关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舆情网站、新闻网站等信息来源渠道进行定期抓取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展示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。 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三是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通过对接省疾控一体化能力平台的接口，接收地处福州市的医疗机构的 EMR 电子病历数据，落盘至中心达梦数据库。</w:t>
      </w:r>
    </w:p>
    <w:p w14:paraId="115CB253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项目需要设施配套或人员操作或管理情况：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项目前期，需 1 名工程师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现场调研开发结合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远程开发。 </w:t>
      </w:r>
    </w:p>
    <w:p w14:paraId="1B118D1B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461F5B98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二、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项目预期成果</w:t>
      </w:r>
    </w:p>
    <w:p w14:paraId="0FAC24D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本项目旨在对现有应急指挥平台进行数据后台管理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及舆情监测模块升级优化，通过建设数据后台管理系统，统一上传和清理卫生应急数据，同时实现国际热点公共卫生舆情全自动获取和评估，助力提升中心突发公共卫生事件监测预警与应急处置能力。项目核心内容围绕数据后台管理及舆情监测模块升级展开：一是打通应急数据科室上传路径，保障卫生应急数据实时性和可靠性。二是利用大数据技术对疾控中心、舆情网站、新闻网站等信息来源渠道进行定期抓取，并采用智能化评估体系对公共卫生事件开展精准评估分析。 </w:t>
      </w:r>
    </w:p>
    <w:p w14:paraId="171F1A39"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实施过程中，将严格遵循现有内控一体化平台技术架构，确保升级模块与平台原有功能无缝对接、兼容运行，不影响现有业务正常开展。同时，提供模块部署、调试、人员培训、售后技术支持等全流程服务，保障升级后模块稳定运行、高效易用。</w:t>
      </w:r>
    </w:p>
    <w:p w14:paraId="59E21EEE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三、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项目技术要求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00"/>
        <w:gridCol w:w="1676"/>
        <w:gridCol w:w="5709"/>
      </w:tblGrid>
      <w:tr w14:paraId="2D496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gridSpan w:val="2"/>
          </w:tcPr>
          <w:p w14:paraId="30091407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需求编号</w:t>
            </w:r>
          </w:p>
        </w:tc>
        <w:tc>
          <w:tcPr>
            <w:tcW w:w="1676" w:type="dxa"/>
          </w:tcPr>
          <w:p w14:paraId="37A46496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需求功能</w:t>
            </w:r>
          </w:p>
        </w:tc>
        <w:tc>
          <w:tcPr>
            <w:tcW w:w="5709" w:type="dxa"/>
          </w:tcPr>
          <w:p w14:paraId="3CC0C271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需求描述</w:t>
            </w:r>
          </w:p>
        </w:tc>
      </w:tr>
      <w:tr w14:paraId="1BBD6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8522" w:type="dxa"/>
            <w:gridSpan w:val="4"/>
          </w:tcPr>
          <w:p w14:paraId="3735730E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一、应急指挥平台数据后台管理模块功能搭建</w:t>
            </w:r>
          </w:p>
        </w:tc>
      </w:tr>
      <w:tr w14:paraId="50036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5F453349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76" w:type="dxa"/>
            <w:gridSpan w:val="2"/>
          </w:tcPr>
          <w:p w14:paraId="494D8D2B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窗口搭建</w:t>
            </w:r>
          </w:p>
        </w:tc>
        <w:tc>
          <w:tcPr>
            <w:tcW w:w="5709" w:type="dxa"/>
          </w:tcPr>
          <w:p w14:paraId="4C8B543A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搭建基于内网环境部署的网页窗口，前端需兼容主流浏览器，大数据量表格展示应流畅，支持虚拟滚动等优化，服务器端应具备权限控制，不同角色按模块、功能授权（浏览、编辑、上传、回滚等）。</w:t>
            </w:r>
          </w:p>
        </w:tc>
      </w:tr>
      <w:tr w14:paraId="0128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35F17BB0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76" w:type="dxa"/>
            <w:gridSpan w:val="2"/>
          </w:tcPr>
          <w:p w14:paraId="1E02D529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疫情数据审修</w:t>
            </w:r>
          </w:p>
        </w:tc>
        <w:tc>
          <w:tcPr>
            <w:tcW w:w="5709" w:type="dxa"/>
          </w:tcPr>
          <w:p w14:paraId="792768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从总线数据源自动复制生成平台所需总表，支持全量同步、增量更新，可配置同步周期或手动触发。提供表格在线浏览功能，包括筛选、排序、列隐藏、分页等。提供审阅与修改功能：支持单元格直接编辑、行增删、批量修改；修改数据标红。修改操作需提交保存，修改内容自动与原始总线数据隔离存储，不影响源端。</w:t>
            </w:r>
          </w:p>
        </w:tc>
      </w:tr>
      <w:tr w14:paraId="675B6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6AFF2880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76" w:type="dxa"/>
            <w:gridSpan w:val="2"/>
          </w:tcPr>
          <w:p w14:paraId="194D3C1D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应急数据上传</w:t>
            </w:r>
          </w:p>
        </w:tc>
        <w:tc>
          <w:tcPr>
            <w:tcW w:w="5709" w:type="dxa"/>
          </w:tcPr>
          <w:p w14:paraId="538F52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建立可配置的上传规则，包括字段映射、数据类型校验、必填项检查、重复判定、值域限制等。支持导入 .xlsx、xls 文件，上传后自动解析并生成预览，列出校验不通过的记录及错误原因。解析后的数据可在网页内直接修改，修正后可重新提交入库，支持单条编辑和批量替换。上传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记录可追溯，保留原始文件和解析结果。</w:t>
            </w:r>
          </w:p>
        </w:tc>
      </w:tr>
      <w:tr w14:paraId="58AA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42EA9F05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76" w:type="dxa"/>
            <w:gridSpan w:val="2"/>
          </w:tcPr>
          <w:p w14:paraId="5BD5F363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舆情监测数据上传</w:t>
            </w:r>
          </w:p>
        </w:tc>
        <w:tc>
          <w:tcPr>
            <w:tcW w:w="5709" w:type="dxa"/>
          </w:tcPr>
          <w:p w14:paraId="1366A87B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数据可在网页内查看、编辑后，一键推送上传至指定系统或上级平台接口。</w:t>
            </w:r>
          </w:p>
        </w:tc>
      </w:tr>
      <w:tr w14:paraId="0087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141C1EE9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76" w:type="dxa"/>
            <w:gridSpan w:val="2"/>
          </w:tcPr>
          <w:p w14:paraId="11E88929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EMR 电子病历数 据接收</w:t>
            </w:r>
          </w:p>
        </w:tc>
        <w:tc>
          <w:tcPr>
            <w:tcW w:w="5709" w:type="dxa"/>
          </w:tcPr>
          <w:p w14:paraId="67F74D55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通过对接省疾控一体化能力平台的接口，接收地处福州市的医疗机构的 EMR 电子病历数据，落盘至中心达梦数据库。</w:t>
            </w:r>
          </w:p>
        </w:tc>
      </w:tr>
      <w:tr w14:paraId="4AB5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3949544A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776" w:type="dxa"/>
            <w:gridSpan w:val="2"/>
          </w:tcPr>
          <w:p w14:paraId="3221E512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数据接口</w:t>
            </w:r>
          </w:p>
        </w:tc>
        <w:tc>
          <w:tcPr>
            <w:tcW w:w="5709" w:type="dxa"/>
          </w:tcPr>
          <w:p w14:paraId="7F7D9258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网页后台分别与对应模块建立安全稳定的数据接口，确保数据高效互通。</w:t>
            </w:r>
          </w:p>
        </w:tc>
      </w:tr>
      <w:tr w14:paraId="2D4D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0ED2D4AB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776" w:type="dxa"/>
            <w:gridSpan w:val="2"/>
          </w:tcPr>
          <w:p w14:paraId="7C9BAEF6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后台运维管理</w:t>
            </w:r>
          </w:p>
        </w:tc>
        <w:tc>
          <w:tcPr>
            <w:tcW w:w="5709" w:type="dxa"/>
          </w:tcPr>
          <w:p w14:paraId="664CA6CD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支持查看修改日志，支持历史回滚。</w:t>
            </w:r>
          </w:p>
        </w:tc>
      </w:tr>
      <w:tr w14:paraId="669DA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1D5189D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二、舆情监测模块功能升级</w:t>
            </w:r>
          </w:p>
        </w:tc>
      </w:tr>
      <w:tr w14:paraId="08B4B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211F6A32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76" w:type="dxa"/>
            <w:gridSpan w:val="2"/>
          </w:tcPr>
          <w:p w14:paraId="4E69853D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舆情数据自动化 </w:t>
            </w:r>
          </w:p>
          <w:p w14:paraId="5C3F5076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抓取</w:t>
            </w:r>
          </w:p>
        </w:tc>
        <w:tc>
          <w:tcPr>
            <w:tcW w:w="5709" w:type="dxa"/>
          </w:tcPr>
          <w:p w14:paraId="3472A69E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针对欧洲疾控中心监测周报、非洲疾控中心监测月报、台湾疾病管制署国际疫情模块、outbreak news today 等信息源开展定期抓取文件和字段</w:t>
            </w:r>
          </w:p>
          <w:p w14:paraId="12C70A71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2E7C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5A2127C7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76" w:type="dxa"/>
            <w:gridSpan w:val="2"/>
          </w:tcPr>
          <w:p w14:paraId="2E639358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文档识别与翻译</w:t>
            </w:r>
          </w:p>
        </w:tc>
        <w:tc>
          <w:tcPr>
            <w:tcW w:w="5709" w:type="dxa"/>
          </w:tcPr>
          <w:p w14:paraId="42A32583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 PDF，图片等格式的文件，进行 OCR 识别，提取文字内容，并进行英文翻译成中文。同需保存原文档和翻译文档。</w:t>
            </w:r>
          </w:p>
        </w:tc>
      </w:tr>
      <w:tr w14:paraId="1E79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6596597D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76" w:type="dxa"/>
            <w:gridSpan w:val="2"/>
          </w:tcPr>
          <w:p w14:paraId="3E346991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文段选择和上传</w:t>
            </w:r>
          </w:p>
        </w:tc>
        <w:tc>
          <w:tcPr>
            <w:tcW w:w="5709" w:type="dxa"/>
          </w:tcPr>
          <w:p w14:paraId="62DCBD91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建立上传规则，自动整理翻译后的文段，并上传至数据后台管理模块</w:t>
            </w:r>
          </w:p>
        </w:tc>
      </w:tr>
      <w:tr w14:paraId="6143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15E6DEE9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三、其他事项</w:t>
            </w:r>
          </w:p>
        </w:tc>
      </w:tr>
      <w:tr w14:paraId="2C6C0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6561E238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76" w:type="dxa"/>
            <w:gridSpan w:val="2"/>
          </w:tcPr>
          <w:p w14:paraId="05C319FA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系统接口及联调 </w:t>
            </w:r>
          </w:p>
          <w:p w14:paraId="45AFD6F7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测试上线</w:t>
            </w:r>
          </w:p>
        </w:tc>
        <w:tc>
          <w:tcPr>
            <w:tcW w:w="5709" w:type="dxa"/>
          </w:tcPr>
          <w:p w14:paraId="17C9589A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系统部署在内网区，整个系统搭建部署所需 </w:t>
            </w:r>
          </w:p>
          <w:p w14:paraId="538C4D3E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要的中间件、接口、第三方服务均含在本项 </w:t>
            </w:r>
          </w:p>
          <w:p w14:paraId="2F56BB98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目标的内。</w:t>
            </w:r>
          </w:p>
        </w:tc>
      </w:tr>
      <w:tr w14:paraId="4CFC1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39DB315F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76" w:type="dxa"/>
            <w:gridSpan w:val="2"/>
          </w:tcPr>
          <w:p w14:paraId="27535507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技术文档</w:t>
            </w:r>
          </w:p>
        </w:tc>
        <w:tc>
          <w:tcPr>
            <w:tcW w:w="5709" w:type="dxa"/>
          </w:tcPr>
          <w:p w14:paraId="4D68DFD6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提供设计文档/接口文档/用户手册/运维手册等相关技术文档。</w:t>
            </w:r>
          </w:p>
        </w:tc>
      </w:tr>
      <w:tr w14:paraId="77CF6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4AF4DF55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76" w:type="dxa"/>
            <w:gridSpan w:val="2"/>
          </w:tcPr>
          <w:p w14:paraId="0680ABDC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售后要求</w:t>
            </w:r>
          </w:p>
        </w:tc>
        <w:tc>
          <w:tcPr>
            <w:tcW w:w="5709" w:type="dxa"/>
          </w:tcPr>
          <w:p w14:paraId="3FD04528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提供 1 年期运维服务。</w:t>
            </w:r>
          </w:p>
        </w:tc>
      </w:tr>
    </w:tbl>
    <w:p w14:paraId="06DB910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FE4910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  <w:t xml:space="preserve"> 四、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项目商务要求</w:t>
      </w:r>
    </w:p>
    <w:p w14:paraId="4996F69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服务地点：采购人指定地点。 </w:t>
      </w:r>
    </w:p>
    <w:p w14:paraId="76D9A1A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2.交付时间：自合同签订之日起 180 日内交付。 </w:t>
      </w:r>
    </w:p>
    <w:p w14:paraId="14174401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3.交付条件：按项目需求内容完成所有服务交付，同 </w:t>
      </w:r>
    </w:p>
    <w:p w14:paraId="4AC7A472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时向甲方交付项目所涉及的所有文档和资料。 </w:t>
      </w:r>
    </w:p>
    <w:p w14:paraId="1920322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4.履约保证金：否。 </w:t>
      </w:r>
    </w:p>
    <w:p w14:paraId="71173FE7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5.验收要求：从合同签订日期起（180 天）内按招标文 </w:t>
      </w:r>
    </w:p>
    <w:p w14:paraId="040CB5E0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件参数要求完成所有功能，经甲方确认无误方可验收通 </w:t>
      </w:r>
    </w:p>
    <w:p w14:paraId="54BF64E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过。 </w:t>
      </w:r>
    </w:p>
    <w:p w14:paraId="47D96313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6.付款及结算方式要求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1320"/>
        <w:gridCol w:w="6063"/>
      </w:tblGrid>
      <w:tr w14:paraId="3D80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</w:tcPr>
          <w:p w14:paraId="05780258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支付期次</w:t>
            </w:r>
          </w:p>
        </w:tc>
        <w:tc>
          <w:tcPr>
            <w:tcW w:w="1320" w:type="dxa"/>
          </w:tcPr>
          <w:p w14:paraId="609E3B4A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支付比例</w:t>
            </w:r>
          </w:p>
        </w:tc>
        <w:tc>
          <w:tcPr>
            <w:tcW w:w="6063" w:type="dxa"/>
          </w:tcPr>
          <w:p w14:paraId="76BA8E02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支付期次说明</w:t>
            </w:r>
          </w:p>
        </w:tc>
      </w:tr>
      <w:tr w14:paraId="4273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</w:tcPr>
          <w:p w14:paraId="680AA171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default"/>
                <w:vertAlign w:val="baseline"/>
                <w:lang w:eastAsia="zh-CN"/>
              </w:rPr>
              <w:t>1</w:t>
            </w:r>
          </w:p>
        </w:tc>
        <w:tc>
          <w:tcPr>
            <w:tcW w:w="1320" w:type="dxa"/>
          </w:tcPr>
          <w:p w14:paraId="4FB3EF44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eastAsia="zh-CN"/>
              </w:rPr>
              <w:t>100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</w:p>
        </w:tc>
        <w:tc>
          <w:tcPr>
            <w:tcW w:w="6063" w:type="dxa"/>
          </w:tcPr>
          <w:p w14:paraId="3321E65F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项目达到交付条件，经采购人验收合格后，中标人提供合同金额</w:t>
            </w:r>
            <w:r>
              <w:rPr>
                <w:rFonts w:hint="eastAsia"/>
                <w:vertAlign w:val="baseline"/>
                <w:lang w:val="en-US" w:eastAsia="zh-CN"/>
              </w:rPr>
              <w:t>10</w:t>
            </w:r>
            <w:r>
              <w:rPr>
                <w:rFonts w:hint="default"/>
                <w:vertAlign w:val="baseline"/>
                <w:lang w:val="en-US" w:eastAsia="zh-CN"/>
              </w:rPr>
              <w:t>0%的发票，通过采购人财务审核后支付合同金额</w:t>
            </w:r>
            <w:r>
              <w:rPr>
                <w:rFonts w:hint="eastAsia"/>
                <w:vertAlign w:val="baseline"/>
                <w:lang w:val="en-US" w:eastAsia="zh-CN"/>
              </w:rPr>
              <w:t>10</w:t>
            </w:r>
            <w:r>
              <w:rPr>
                <w:rFonts w:hint="default"/>
                <w:vertAlign w:val="baseline"/>
                <w:lang w:val="en-US" w:eastAsia="zh-CN"/>
              </w:rPr>
              <w:t>0%的服务剩余款项。</w:t>
            </w:r>
          </w:p>
        </w:tc>
      </w:tr>
    </w:tbl>
    <w:p w14:paraId="589184C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F6DD2"/>
    <w:rsid w:val="1E3745B6"/>
    <w:rsid w:val="25644274"/>
    <w:rsid w:val="285F355C"/>
    <w:rsid w:val="60E32902"/>
    <w:rsid w:val="73AD0470"/>
    <w:rsid w:val="BFFFA439"/>
    <w:rsid w:val="D67F5961"/>
    <w:rsid w:val="EFFDB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d683f239-ecdb-4e09-83af-422be263d461</errorID>
      <errorWord>了</errorWord>
      <group>L1_Word</group>
      <groupName>字词问题</groupName>
      <ability>L2_Typo</ability>
      <abilityName>字词错误</abilityName>
      <candidateList>
        <item>了一</item>
      </candidateList>
      <explain/>
      <paraID>655A74EA</paraID>
      <start>53</start>
      <end>55</end>
      <status>modified</status>
      <modifiedWord>了一</modifiedWord>
      <trackRevisions>false</trackRevisions>
    </reviewItem>
    <reviewItem>
      <errorID>785f0b8f-61d3-414d-b934-4d28f6f19b85</errorID>
      <errorWord>、.</errorWord>
      <group>L1_Punc</group>
      <groupName>标点问题</groupName>
      <ability>L2_Punc_CN</ability>
      <abilityName>标点符号问题</abilityName>
      <candidateList>
        <item>、</item>
      </candidateList>
      <explain/>
      <paraID>538F5293</paraID>
      <start>52</start>
      <end>53</end>
      <status>modified</status>
      <modifiedWord>、</modifiedWord>
      <trackRevisions>false</trackRevisions>
    </reviewItem>
    <reviewItem>
      <errorID>75994d5e-23d4-4b35-91bd-d6dc70e22455</errorID>
      <errorWord>布署</errorWord>
      <group>L1_Word</group>
      <groupName>字词问题</groupName>
      <ability>L2_Typo</ability>
      <abilityName>字词错误</abilityName>
      <candidateList>
        <item>部署</item>
      </candidateList>
      <explain>存在发音相同字词的误用。</explain>
      <paraID>17C9589A</paraID>
      <start>2</start>
      <end>4</end>
      <status>modified</status>
      <modifiedWord>部署</modifiedWord>
      <trackRevisions>false</trackRevisions>
    </reviewItem>
    <reviewItem>
      <errorID>457bac08-990f-4e8c-85c6-49d38e0b93c5</errorID>
      <errorWord>布署</errorWord>
      <group>L1_Word</group>
      <groupName>字词问题</groupName>
      <ability>L2_Typo</ability>
      <abilityName>字词错误</abilityName>
      <candidateList>
        <item>部署</item>
      </candidateList>
      <explain/>
      <paraID>17C9589A</paraID>
      <start>15</start>
      <end>17</end>
      <status>modified</status>
      <modifiedWord>部署</modifiedWord>
      <trackRevisions>false</trackRevisions>
    </reviewItem>
    <reviewItem>
      <errorID>cc339966-3f00-45b8-baaa-2ed6bc019d73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4996F694</paraID>
      <start>0</start>
      <end>2</end>
      <status>modified</status>
      <modifiedWord>1.</modifiedWord>
      <trackRevisions>false</trackRevisions>
    </reviewItem>
    <reviewItem>
      <errorID>b7d033b3-48c7-405a-8423-7df425c53dbb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76D9A1AB</paraID>
      <start>0</start>
      <end>2</end>
      <status>modified</status>
      <modifiedWord>2.</modifiedWord>
      <trackRevisions>false</trackRevisions>
    </reviewItem>
    <reviewItem>
      <errorID>e12b4fec-f7bb-42da-a494-ef9383f89766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14174401</paraID>
      <start>0</start>
      <end>2</end>
      <status>modified</status>
      <modifiedWord>3.</modifiedWord>
      <trackRevisions>false</trackRevisions>
    </reviewItem>
    <reviewItem>
      <errorID>6ab2abf4-bf27-4589-89b4-3cb09771b365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19203224</paraID>
      <start>0</start>
      <end>2</end>
      <status>modified</status>
      <modifiedWord>4.</modifiedWord>
      <trackRevisions>false</trackRevisions>
    </reviewItem>
    <reviewItem>
      <errorID>f9aaa780-9f21-42af-a056-2bd70e81a923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71173FE7</paraID>
      <start>0</start>
      <end>2</end>
      <status>modified</status>
      <modifiedWord>5.</modifiedWord>
      <trackRevisions>false</trackRevisions>
    </reviewItem>
    <reviewItem>
      <errorID>961f4a7a-71f5-4e96-abb2-b04c62885a01</errorID>
      <errorWord>验收通</errorWord>
      <group>L1_Grammar</group>
      <groupName>语法问题</groupName>
      <ability>L2_Order</ability>
      <abilityName>语序不当</abilityName>
      <candidateList>
        <item>通验收</item>
      </candidateList>
      <explain>句子可能没有遵循时空、逻辑顺序，或者介词、关联词等位置不当。</explain>
      <paraID> 40CB5E0</paraID>
      <start>21</start>
      <end>24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e1b341e-b9c4-4d03-b1a4-bafcd63ce7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599</Words>
  <Characters>605</Characters>
  <Lines>0</Lines>
  <Paragraphs>0</Paragraphs>
  <TotalTime>0</TotalTime>
  <ScaleCrop>false</ScaleCrop>
  <LinksUpToDate>false</LinksUpToDate>
  <CharactersWithSpaces>617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2026-07-14T11:34:00Z</dcterms:created>
  <dc:creator>77152</dc:creator>
  <cp:lastModifiedBy>不喝奶茶</cp:lastModifiedBy>
  <dcterms:modified xsi:type="dcterms:W3CDTF">2026-07-21T02:26:40Z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eyJoZGlkIjoiMzA3MTJjZmMzNTE5ZTIzYjZkZmI5Y2EwYmRkOGMyMDMiLCJ1c2VySWQiOiIyMDgwNzcwNTEifQ==</vt:lpwstr>
  </property>
  <property fmtid="{D5CDD505-2E9C-101B-9397-08002B2CF9AE}" pid="4" name="ICV">
    <vt:lpwstr>A2E61EFFBE3B4ECC86553FD67A9D7125_12</vt:lpwstr>
  </property>
</Properties>
</file>