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3883" w:rsidRDefault="0065340E">
      <w:pPr>
        <w:rPr>
          <w:rFonts w:ascii="微软雅黑" w:eastAsia="微软雅黑" w:hAnsi="微软雅黑" w:hint="eastAsia"/>
          <w:color w:val="1966A7"/>
          <w:sz w:val="26"/>
          <w:szCs w:val="26"/>
        </w:rPr>
      </w:pPr>
      <w:r>
        <w:rPr>
          <w:rFonts w:ascii="微软雅黑" w:eastAsia="微软雅黑" w:hAnsi="微软雅黑" w:hint="eastAsia"/>
          <w:color w:val="1966A7"/>
          <w:sz w:val="26"/>
          <w:szCs w:val="26"/>
        </w:rPr>
        <w:t>关于印发低风险地区夏季重点场所重点单位重点人群新冠肺炎疫情常态化防控相关防护指南（修订版）的通知</w:t>
      </w:r>
    </w:p>
    <w:p w:rsidR="0065340E" w:rsidRPr="0065340E" w:rsidRDefault="0065340E" w:rsidP="0065340E">
      <w:pPr>
        <w:pStyle w:val="a3"/>
        <w:spacing w:before="0" w:beforeAutospacing="0" w:after="0" w:afterAutospacing="0"/>
        <w:ind w:firstLineChars="350" w:firstLine="1120"/>
        <w:rPr>
          <w:rFonts w:ascii="仿宋" w:eastAsia="仿宋" w:hAnsi="仿宋" w:hint="eastAsia"/>
          <w:color w:val="484848"/>
          <w:sz w:val="32"/>
          <w:szCs w:val="32"/>
        </w:rPr>
      </w:pPr>
      <w:r>
        <w:rPr>
          <w:rFonts w:ascii="仿宋" w:eastAsia="仿宋" w:hAnsi="仿宋" w:hint="eastAsia"/>
          <w:color w:val="484848"/>
          <w:sz w:val="32"/>
          <w:szCs w:val="32"/>
        </w:rPr>
        <w:t>联防联控机制综发〔2020〕192号</w:t>
      </w:r>
    </w:p>
    <w:p w:rsidR="0065340E" w:rsidRPr="0065340E" w:rsidRDefault="0065340E" w:rsidP="0065340E">
      <w:pPr>
        <w:pStyle w:val="a3"/>
        <w:spacing w:before="0" w:beforeAutospacing="0" w:after="0" w:afterAutospacing="0"/>
        <w:jc w:val="both"/>
        <w:rPr>
          <w:rFonts w:ascii="仿宋" w:eastAsia="仿宋" w:hAnsi="仿宋" w:hint="eastAsia"/>
          <w:color w:val="484848"/>
          <w:sz w:val="32"/>
          <w:szCs w:val="32"/>
        </w:rPr>
      </w:pPr>
      <w:r>
        <w:rPr>
          <w:rFonts w:ascii="仿宋" w:eastAsia="仿宋" w:hAnsi="仿宋" w:hint="eastAsia"/>
          <w:color w:val="484848"/>
          <w:sz w:val="32"/>
          <w:szCs w:val="32"/>
        </w:rPr>
        <w:t>各省、自治区、直辖市及新疆生产建设兵团应对新型冠状病毒肺炎疫情联防联控机制（领导小组、指挥部）：</w:t>
      </w:r>
      <w:r>
        <w:rPr>
          <w:rFonts w:ascii="仿宋" w:eastAsia="仿宋" w:hAnsi="仿宋" w:hint="eastAsia"/>
          <w:color w:val="484848"/>
          <w:sz w:val="32"/>
          <w:szCs w:val="32"/>
        </w:rPr>
        <w:br/>
        <w:t xml:space="preserve">　　为做好新冠肺炎疫情常态化防控工作，指导重点场所、重点单位、重点人群做好防护，结合夏季防控特点，我们对《重点场所重点单位重点人群新冠肺炎疫情防控相关防控技术指南》进行了修订调整，形成《低风险地区夏季重点场所重点单位重点人群新冠肺炎疫情常态化防控相关防护指南（修订版）》。本指南只适用于新冠肺炎疫情低风险地区，中、高风险地区仍参照原版指南实施。有关措施如下：</w:t>
      </w:r>
      <w:r>
        <w:rPr>
          <w:rFonts w:ascii="仿宋" w:eastAsia="仿宋" w:hAnsi="仿宋" w:hint="eastAsia"/>
          <w:color w:val="484848"/>
          <w:sz w:val="32"/>
          <w:szCs w:val="32"/>
        </w:rPr>
        <w:br/>
      </w:r>
      <w:r>
        <w:rPr>
          <w:rFonts w:ascii="黑体" w:eastAsia="黑体" w:hAnsi="黑体" w:hint="eastAsia"/>
          <w:color w:val="484848"/>
          <w:sz w:val="32"/>
          <w:szCs w:val="32"/>
        </w:rPr>
        <w:t xml:space="preserve">　　一、落实日常重点防护措施</w:t>
      </w:r>
      <w:r>
        <w:rPr>
          <w:rFonts w:ascii="黑体" w:eastAsia="黑体" w:hAnsi="黑体" w:hint="eastAsia"/>
          <w:color w:val="484848"/>
          <w:sz w:val="32"/>
          <w:szCs w:val="32"/>
        </w:rPr>
        <w:br/>
      </w:r>
      <w:r>
        <w:rPr>
          <w:rFonts w:ascii="仿宋" w:eastAsia="仿宋" w:hAnsi="仿宋" w:hint="eastAsia"/>
          <w:color w:val="484848"/>
          <w:sz w:val="32"/>
          <w:szCs w:val="32"/>
        </w:rPr>
        <w:t xml:space="preserve">　　1.减少人员聚集。娱乐、休闲等活动场所，通过限量、错峰等方式，减少大范围人员聚集活动，人员接触时尽量保持1米以上的社交距离。餐饮场所，分散错峰就餐，减少人员聚集。在人员流动性较大、相对密闭的公共场所以及公共交通工具，做好个人防护，佩戴口罩。　</w:t>
      </w:r>
      <w:r>
        <w:rPr>
          <w:rFonts w:ascii="仿宋" w:eastAsia="仿宋" w:hAnsi="仿宋" w:hint="eastAsia"/>
          <w:color w:val="484848"/>
          <w:sz w:val="32"/>
          <w:szCs w:val="32"/>
        </w:rPr>
        <w:br/>
        <w:t xml:space="preserve">　　2.加强环境卫生和消毒。室内经常开窗通风换气，保持空气流通。超市、商场、农集贸市场等人员密集、流动性大的场所做好公共区域的物体表面清洁消毒，落实日常保洁、环境卫生与消毒等措施，工作人员戴手套。加强洗手、卫生</w:t>
      </w:r>
      <w:r>
        <w:rPr>
          <w:rFonts w:ascii="仿宋" w:eastAsia="仿宋" w:hAnsi="仿宋" w:hint="eastAsia"/>
          <w:color w:val="484848"/>
          <w:sz w:val="32"/>
          <w:szCs w:val="32"/>
        </w:rPr>
        <w:lastRenderedPageBreak/>
        <w:t>间等设施的卫生管理，及时清理下水明沟的污水污物，对下水管道、空气处理装置水封、卫生间地漏等U型管定期检查与维护。</w:t>
      </w:r>
      <w:r>
        <w:rPr>
          <w:rFonts w:ascii="仿宋" w:eastAsia="仿宋" w:hAnsi="仿宋" w:hint="eastAsia"/>
          <w:color w:val="484848"/>
          <w:sz w:val="32"/>
          <w:szCs w:val="32"/>
        </w:rPr>
        <w:br/>
        <w:t xml:space="preserve">　　3.规范空调管理和使用。办公场所、公共场所、公共交通工具和住宅等空调系统，开启前检查设备是否正常。对冷却塔等进行清洗，保持新风口清洁，定期对送风口等设备和部件进行清洗、消毒或更换。新风口和排风口要保持一定距离。集中空调系统运行过程中，尽可能减小回风、增大新风量。</w:t>
      </w:r>
      <w:r>
        <w:rPr>
          <w:rFonts w:ascii="仿宋" w:eastAsia="仿宋" w:hAnsi="仿宋" w:hint="eastAsia"/>
          <w:color w:val="484848"/>
          <w:sz w:val="32"/>
          <w:szCs w:val="32"/>
        </w:rPr>
        <w:br/>
        <w:t xml:space="preserve">　　4.提高公众健康素养。开展新时代爱国卫生运动，将卫生创建与防控工作有机结合。强化公众手卫生、一米线、开窗通风、清洁消毒、生病时减少去人员聚集场所和佩戴口罩等健康防护和意识，养成勤洗手、咳嗽和打喷嚏时注意遮挡等良好卫生习惯和行为。</w:t>
      </w:r>
      <w:r>
        <w:rPr>
          <w:rFonts w:ascii="仿宋" w:eastAsia="仿宋" w:hAnsi="仿宋" w:hint="eastAsia"/>
          <w:color w:val="484848"/>
          <w:sz w:val="32"/>
          <w:szCs w:val="32"/>
        </w:rPr>
        <w:br/>
      </w:r>
      <w:r>
        <w:rPr>
          <w:rFonts w:ascii="黑体" w:eastAsia="黑体" w:hAnsi="黑体" w:hint="eastAsia"/>
          <w:color w:val="484848"/>
          <w:sz w:val="32"/>
          <w:szCs w:val="32"/>
        </w:rPr>
        <w:t xml:space="preserve">　　二、强化重点环节防护</w:t>
      </w:r>
      <w:r>
        <w:rPr>
          <w:rFonts w:ascii="黑体" w:eastAsia="黑体" w:hAnsi="黑体" w:hint="eastAsia"/>
          <w:color w:val="484848"/>
          <w:sz w:val="32"/>
          <w:szCs w:val="32"/>
        </w:rPr>
        <w:br/>
      </w:r>
      <w:r>
        <w:rPr>
          <w:rFonts w:ascii="仿宋" w:eastAsia="仿宋" w:hAnsi="仿宋" w:hint="eastAsia"/>
          <w:color w:val="484848"/>
          <w:sz w:val="32"/>
          <w:szCs w:val="32"/>
        </w:rPr>
        <w:t xml:space="preserve">　　5.重点场所防护。在落实常态化防控措施前提下，商场、超市、农集贸市场、宾馆、餐馆等生活服务类场所，图书馆、博物馆、美术馆等室内场馆，加强室内通风，正确使用空调，做好环境清洁消毒和工作人员健康监测；公园、旅游景点等开放式活动场所，采取限量、预约、错峰等方式，减少人员聚集，做好环境卫生；影剧院、游艺厅、网吧等密闭式娱乐休闲场所，强化人员健康监测、限制人员数量和停留时间、</w:t>
      </w:r>
      <w:r>
        <w:rPr>
          <w:rFonts w:ascii="仿宋" w:eastAsia="仿宋" w:hAnsi="仿宋" w:hint="eastAsia"/>
          <w:color w:val="484848"/>
          <w:sz w:val="32"/>
          <w:szCs w:val="32"/>
        </w:rPr>
        <w:lastRenderedPageBreak/>
        <w:t>通风消毒等措施。</w:t>
      </w:r>
      <w:r>
        <w:rPr>
          <w:rFonts w:ascii="仿宋" w:eastAsia="仿宋" w:hAnsi="仿宋" w:hint="eastAsia"/>
          <w:color w:val="484848"/>
          <w:sz w:val="32"/>
          <w:szCs w:val="32"/>
        </w:rPr>
        <w:br/>
        <w:t xml:space="preserve">　　6.重点单位防护。企业、邮政快递业、机关事业单位、建筑业等单位，做好办公场所、工区及公共区域、职工宿舍等通风换气、环境清洁消毒、人员健康监测；保持分区作业、分散错峰就餐、减少人员聚集等措施。进口物资、食品加工等相关单位做好运输工具和储存场所清洁消毒以及环境监测。养老机构、儿童福利院、监狱、精神卫生医疗机构等特殊单位做好风险防范，开展预防性卫生措施，落实人员进出管理、人员防护、健康监测、日常消毒等防护措施。学校和托幼机构做好应急预案、防护物资储备、教室宿舍环境卫生和消毒，加强因病缺勤管理，严格实施“晨午检”“日报告”“零报告”制度。</w:t>
      </w:r>
      <w:r>
        <w:rPr>
          <w:rFonts w:ascii="仿宋" w:eastAsia="仿宋" w:hAnsi="仿宋" w:hint="eastAsia"/>
          <w:color w:val="484848"/>
          <w:sz w:val="32"/>
          <w:szCs w:val="32"/>
        </w:rPr>
        <w:br/>
        <w:t xml:space="preserve">　　7.重点人群防护。指导老年人、儿童、孕产妇、残疾人等重点人群做好个人防护、关爱帮扶等措施。在密闭公共场所工作的售货员、保洁员、服务员、司乘人员、食品从业人员、保安、客运场站服务人员，以及就医人员、教师、警察、环卫工人、快递员、海关人员、理发师等，加强健康管理和监测，做好戴口罩、勤洗手、戴手套等个人防护措施。</w:t>
      </w:r>
      <w:r>
        <w:rPr>
          <w:rFonts w:ascii="仿宋" w:eastAsia="仿宋" w:hAnsi="仿宋" w:hint="eastAsia"/>
          <w:color w:val="484848"/>
          <w:sz w:val="32"/>
          <w:szCs w:val="32"/>
        </w:rPr>
        <w:br/>
      </w:r>
      <w:r>
        <w:rPr>
          <w:rFonts w:ascii="黑体" w:eastAsia="黑体" w:hAnsi="黑体" w:hint="eastAsia"/>
          <w:color w:val="484848"/>
          <w:sz w:val="32"/>
          <w:szCs w:val="32"/>
        </w:rPr>
        <w:t xml:space="preserve">　　三、有效应对风险等级调整</w:t>
      </w:r>
      <w:r>
        <w:rPr>
          <w:rFonts w:ascii="黑体" w:eastAsia="黑体" w:hAnsi="黑体" w:hint="eastAsia"/>
          <w:color w:val="484848"/>
          <w:sz w:val="32"/>
          <w:szCs w:val="32"/>
        </w:rPr>
        <w:br/>
      </w:r>
      <w:r>
        <w:rPr>
          <w:rFonts w:ascii="仿宋" w:eastAsia="仿宋" w:hAnsi="仿宋" w:hint="eastAsia"/>
          <w:color w:val="484848"/>
          <w:sz w:val="32"/>
          <w:szCs w:val="32"/>
        </w:rPr>
        <w:t xml:space="preserve">　　各地按照分区分级标准，依据本地疫情形势，及时调整风险等级和应急响应级别。一旦从低风险调整为中高风险地区，要严格执行疫情防控规定，采取应急处置措施，实施精</w:t>
      </w:r>
      <w:r>
        <w:rPr>
          <w:rFonts w:ascii="仿宋" w:eastAsia="仿宋" w:hAnsi="仿宋" w:hint="eastAsia"/>
          <w:color w:val="484848"/>
          <w:sz w:val="32"/>
          <w:szCs w:val="32"/>
        </w:rPr>
        <w:lastRenderedPageBreak/>
        <w:t>准防控。在划定防控区域范围内重点场所、重点单位、重点人群要从严从紧落实防控措施，及时调整转换卫生防护要求。</w:t>
      </w:r>
      <w:r>
        <w:rPr>
          <w:rFonts w:ascii="仿宋" w:eastAsia="仿宋" w:hAnsi="仿宋" w:hint="eastAsia"/>
          <w:color w:val="484848"/>
          <w:sz w:val="32"/>
          <w:szCs w:val="32"/>
        </w:rPr>
        <w:br/>
        <w:t xml:space="preserve">　　8.密闭式娱乐、休闲场所，建议暂停营业；生活服务类场所，应缩短营业时间、限制人员数量和停留时间，减少人群聚集；开放式活动场所，在做好环境清洁消毒、人员健康监测、减少人群聚集的前提下正常营业；客运场站和公共交通工具，要按照指南严格落实体温测量、戴口罩、通风消毒、分区分级客座率（满载率、人员聚集度）控制等措施。</w:t>
      </w:r>
      <w:r>
        <w:rPr>
          <w:rFonts w:ascii="仿宋" w:eastAsia="仿宋" w:hAnsi="仿宋" w:hint="eastAsia"/>
          <w:color w:val="484848"/>
          <w:sz w:val="32"/>
          <w:szCs w:val="32"/>
        </w:rPr>
        <w:br/>
        <w:t xml:space="preserve">　　9.鼓励具备条件的企事业单位采取错时上下班、弹性工作制或居家办公方式，实施分区作业、分散错峰就餐，控制会议频次和规模，尽量减少人员聚集。监狱、养老机构、儿童福利院等特殊单位实行全封闭管理，严格落实体温测量和健康监测等措施，加强个人防护，禁止外来人员探视。学校建议暂时停课。</w:t>
      </w:r>
      <w:r>
        <w:rPr>
          <w:rFonts w:ascii="仿宋" w:eastAsia="仿宋" w:hAnsi="仿宋" w:hint="eastAsia"/>
          <w:color w:val="484848"/>
          <w:sz w:val="32"/>
          <w:szCs w:val="32"/>
        </w:rPr>
        <w:br/>
        <w:t xml:space="preserve">　　10.重点人群要强化卫生防护措施，减少外出，做好健康监测、科学佩戴口罩、加强手卫生、避免到人群聚集尤其是通风不良的场所等。</w:t>
      </w:r>
      <w:r>
        <w:rPr>
          <w:rFonts w:ascii="仿宋" w:eastAsia="仿宋" w:hAnsi="仿宋" w:hint="eastAsia"/>
          <w:color w:val="484848"/>
          <w:sz w:val="32"/>
          <w:szCs w:val="32"/>
        </w:rPr>
        <w:br/>
        <w:t xml:space="preserve">　　各地要压实属地单位主体责任，严格落实常态化防控各项措施要求，加强统筹调度，因地制宜、因时制宜，要强化监督，安排专人负责监督各行各业防护指南的落实情况，要开展重点场所专职防疫培训，保证防护效果，要加强指导与科普宣传，指导联防联控、精准防护。</w:t>
      </w:r>
    </w:p>
    <w:p w:rsidR="0065340E" w:rsidRDefault="0065340E" w:rsidP="0065340E">
      <w:pPr>
        <w:pStyle w:val="a3"/>
        <w:spacing w:before="0" w:beforeAutospacing="0" w:after="0" w:afterAutospacing="0"/>
        <w:jc w:val="both"/>
        <w:rPr>
          <w:rFonts w:ascii="仿宋" w:eastAsia="仿宋" w:hAnsi="仿宋" w:hint="eastAsia"/>
          <w:color w:val="484848"/>
          <w:sz w:val="32"/>
          <w:szCs w:val="32"/>
        </w:rPr>
      </w:pPr>
      <w:r>
        <w:rPr>
          <w:rFonts w:ascii="仿宋" w:eastAsia="仿宋" w:hAnsi="仿宋" w:hint="eastAsia"/>
          <w:color w:val="484848"/>
          <w:sz w:val="32"/>
          <w:szCs w:val="32"/>
        </w:rPr>
        <w:lastRenderedPageBreak/>
        <w:t xml:space="preserve">　　附件：</w:t>
      </w:r>
      <w:r>
        <w:rPr>
          <w:rFonts w:ascii="仿宋" w:eastAsia="仿宋" w:hAnsi="仿宋"/>
          <w:noProof/>
          <w:color w:val="484848"/>
          <w:sz w:val="32"/>
          <w:szCs w:val="32"/>
        </w:rPr>
        <w:drawing>
          <wp:inline distT="0" distB="0" distL="0" distR="0">
            <wp:extent cx="156845" cy="156845"/>
            <wp:effectExtent l="19050" t="0" r="0" b="0"/>
            <wp:docPr id="1" name="图片 1" descr="http://www.nhc.gov.cn/default/images/icon16/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hc.gov.cn/default/images/icon16/doc.gif"/>
                    <pic:cNvPicPr>
                      <a:picLocks noChangeAspect="1" noChangeArrowheads="1"/>
                    </pic:cNvPicPr>
                  </pic:nvPicPr>
                  <pic:blipFill>
                    <a:blip r:embed="rId4"/>
                    <a:srcRect/>
                    <a:stretch>
                      <a:fillRect/>
                    </a:stretch>
                  </pic:blipFill>
                  <pic:spPr bwMode="auto">
                    <a:xfrm>
                      <a:off x="0" y="0"/>
                      <a:ext cx="156845" cy="156845"/>
                    </a:xfrm>
                    <a:prstGeom prst="rect">
                      <a:avLst/>
                    </a:prstGeom>
                    <a:noFill/>
                    <a:ln w="9525">
                      <a:noFill/>
                      <a:miter lim="800000"/>
                      <a:headEnd/>
                      <a:tailEnd/>
                    </a:ln>
                  </pic:spPr>
                </pic:pic>
              </a:graphicData>
            </a:graphic>
          </wp:inline>
        </w:drawing>
      </w:r>
      <w:hyperlink r:id="rId5" w:tgtFrame="_blank" w:history="1">
        <w:r>
          <w:rPr>
            <w:rStyle w:val="a4"/>
            <w:rFonts w:ascii="微软雅黑" w:eastAsia="微软雅黑" w:hAnsi="微软雅黑" w:hint="eastAsia"/>
            <w:color w:val="484848"/>
            <w:sz w:val="32"/>
            <w:szCs w:val="32"/>
            <w:u w:val="none"/>
          </w:rPr>
          <w:t>低风险地区夏季重点场所重点单位重点人群新冠肺炎疫情常态化防控相关防护指南（修订版）</w:t>
        </w:r>
      </w:hyperlink>
    </w:p>
    <w:p w:rsidR="0065340E" w:rsidRDefault="0065340E" w:rsidP="0065340E">
      <w:pPr>
        <w:pStyle w:val="a3"/>
        <w:spacing w:before="0" w:beforeAutospacing="0" w:after="0" w:afterAutospacing="0"/>
        <w:ind w:right="640"/>
        <w:rPr>
          <w:rFonts w:ascii="仿宋" w:eastAsia="仿宋" w:hAnsi="仿宋" w:hint="eastAsia"/>
          <w:color w:val="484848"/>
          <w:sz w:val="32"/>
          <w:szCs w:val="32"/>
        </w:rPr>
      </w:pPr>
      <w:r>
        <w:rPr>
          <w:rFonts w:ascii="MS Mincho" w:eastAsia="MS Mincho" w:hAnsi="MS Mincho" w:cs="MS Mincho" w:hint="eastAsia"/>
          <w:color w:val="484848"/>
          <w:sz w:val="32"/>
          <w:szCs w:val="32"/>
        </w:rPr>
        <w:t> </w:t>
      </w:r>
    </w:p>
    <w:p w:rsidR="0065340E" w:rsidRDefault="0065340E" w:rsidP="0065340E">
      <w:pPr>
        <w:pStyle w:val="a3"/>
        <w:spacing w:before="0" w:beforeAutospacing="0" w:after="0" w:afterAutospacing="0"/>
        <w:jc w:val="right"/>
        <w:rPr>
          <w:rFonts w:ascii="仿宋" w:eastAsia="仿宋" w:hAnsi="仿宋" w:hint="eastAsia"/>
          <w:color w:val="484848"/>
          <w:sz w:val="32"/>
          <w:szCs w:val="32"/>
        </w:rPr>
      </w:pPr>
      <w:r>
        <w:rPr>
          <w:rFonts w:ascii="MS Mincho" w:eastAsia="MS Mincho" w:hAnsi="MS Mincho" w:cs="MS Mincho" w:hint="eastAsia"/>
          <w:color w:val="484848"/>
          <w:sz w:val="32"/>
          <w:szCs w:val="32"/>
        </w:rPr>
        <w:t> </w:t>
      </w:r>
      <w:r>
        <w:rPr>
          <w:rFonts w:ascii="仿宋" w:eastAsia="仿宋" w:hAnsi="仿宋" w:hint="eastAsia"/>
          <w:color w:val="484848"/>
          <w:sz w:val="32"/>
          <w:szCs w:val="32"/>
        </w:rPr>
        <w:t>国务院应对新型冠状病毒肺炎</w:t>
      </w:r>
      <w:r>
        <w:rPr>
          <w:rFonts w:ascii="仿宋" w:eastAsia="仿宋" w:hAnsi="仿宋" w:hint="eastAsia"/>
          <w:color w:val="484848"/>
          <w:sz w:val="32"/>
          <w:szCs w:val="32"/>
        </w:rPr>
        <w:br/>
      </w:r>
      <w:r>
        <w:rPr>
          <w:rFonts w:ascii="MS Mincho" w:eastAsia="MS Mincho" w:hAnsi="MS Mincho" w:cs="MS Mincho" w:hint="eastAsia"/>
          <w:color w:val="484848"/>
          <w:sz w:val="32"/>
          <w:szCs w:val="32"/>
        </w:rPr>
        <w:t> </w:t>
      </w:r>
      <w:r>
        <w:rPr>
          <w:rFonts w:ascii="MS Mincho" w:eastAsia="MS Mincho" w:hAnsi="MS Mincho" w:cs="MS Mincho" w:hint="eastAsia"/>
          <w:color w:val="484848"/>
          <w:sz w:val="32"/>
          <w:szCs w:val="32"/>
        </w:rPr>
        <w:t> </w:t>
      </w:r>
      <w:r>
        <w:rPr>
          <w:rFonts w:ascii="MS Mincho" w:eastAsia="MS Mincho" w:hAnsi="MS Mincho" w:cs="MS Mincho" w:hint="eastAsia"/>
          <w:color w:val="484848"/>
          <w:sz w:val="32"/>
          <w:szCs w:val="32"/>
        </w:rPr>
        <w:t> </w:t>
      </w:r>
      <w:r>
        <w:rPr>
          <w:rFonts w:ascii="仿宋" w:eastAsia="仿宋" w:hAnsi="仿宋" w:hint="eastAsia"/>
          <w:color w:val="484848"/>
          <w:sz w:val="32"/>
          <w:szCs w:val="32"/>
        </w:rPr>
        <w:t>疫情联防联控机制综合组</w:t>
      </w:r>
      <w:r>
        <w:rPr>
          <w:rFonts w:ascii="仿宋" w:eastAsia="仿宋" w:hAnsi="仿宋" w:hint="eastAsia"/>
          <w:color w:val="484848"/>
          <w:sz w:val="32"/>
          <w:szCs w:val="32"/>
        </w:rPr>
        <w:br/>
      </w:r>
      <w:r>
        <w:rPr>
          <w:rFonts w:ascii="MS Mincho" w:eastAsia="MS Mincho" w:hAnsi="MS Mincho" w:cs="MS Mincho" w:hint="eastAsia"/>
          <w:color w:val="484848"/>
          <w:sz w:val="32"/>
          <w:szCs w:val="32"/>
        </w:rPr>
        <w:t> </w:t>
      </w:r>
      <w:r>
        <w:rPr>
          <w:rFonts w:ascii="MS Mincho" w:eastAsia="MS Mincho" w:hAnsi="MS Mincho" w:cs="MS Mincho" w:hint="eastAsia"/>
          <w:color w:val="484848"/>
          <w:sz w:val="32"/>
          <w:szCs w:val="32"/>
        </w:rPr>
        <w:t> </w:t>
      </w:r>
      <w:r>
        <w:rPr>
          <w:rFonts w:ascii="MS Mincho" w:eastAsia="MS Mincho" w:hAnsi="MS Mincho" w:cs="MS Mincho" w:hint="eastAsia"/>
          <w:color w:val="484848"/>
          <w:sz w:val="32"/>
          <w:szCs w:val="32"/>
        </w:rPr>
        <w:t> </w:t>
      </w:r>
      <w:r>
        <w:rPr>
          <w:rFonts w:ascii="MS Mincho" w:eastAsia="MS Mincho" w:hAnsi="MS Mincho" w:cs="MS Mincho" w:hint="eastAsia"/>
          <w:color w:val="484848"/>
          <w:sz w:val="32"/>
          <w:szCs w:val="32"/>
        </w:rPr>
        <w:t> </w:t>
      </w:r>
      <w:r>
        <w:rPr>
          <w:rFonts w:ascii="MS Mincho" w:eastAsia="MS Mincho" w:hAnsi="MS Mincho" w:cs="MS Mincho" w:hint="eastAsia"/>
          <w:color w:val="484848"/>
          <w:sz w:val="32"/>
          <w:szCs w:val="32"/>
        </w:rPr>
        <w:t> </w:t>
      </w:r>
      <w:r>
        <w:rPr>
          <w:rFonts w:ascii="MS Mincho" w:eastAsia="MS Mincho" w:hAnsi="MS Mincho" w:cs="MS Mincho" w:hint="eastAsia"/>
          <w:color w:val="484848"/>
          <w:sz w:val="32"/>
          <w:szCs w:val="32"/>
        </w:rPr>
        <w:t> </w:t>
      </w:r>
      <w:r>
        <w:rPr>
          <w:rFonts w:ascii="MS Mincho" w:eastAsia="MS Mincho" w:hAnsi="MS Mincho" w:cs="MS Mincho" w:hint="eastAsia"/>
          <w:color w:val="484848"/>
          <w:sz w:val="32"/>
          <w:szCs w:val="32"/>
        </w:rPr>
        <w:t> </w:t>
      </w:r>
      <w:r>
        <w:rPr>
          <w:rFonts w:ascii="MS Mincho" w:eastAsia="MS Mincho" w:hAnsi="MS Mincho" w:cs="MS Mincho" w:hint="eastAsia"/>
          <w:color w:val="484848"/>
          <w:sz w:val="32"/>
          <w:szCs w:val="32"/>
        </w:rPr>
        <w:t> </w:t>
      </w:r>
      <w:r>
        <w:rPr>
          <w:rFonts w:ascii="MS Mincho" w:eastAsia="MS Mincho" w:hAnsi="MS Mincho" w:cs="MS Mincho" w:hint="eastAsia"/>
          <w:color w:val="484848"/>
          <w:sz w:val="32"/>
          <w:szCs w:val="32"/>
        </w:rPr>
        <w:t> </w:t>
      </w:r>
      <w:r>
        <w:rPr>
          <w:rFonts w:ascii="MS Mincho" w:eastAsia="MS Mincho" w:hAnsi="MS Mincho" w:cs="MS Mincho" w:hint="eastAsia"/>
          <w:color w:val="484848"/>
          <w:sz w:val="32"/>
          <w:szCs w:val="32"/>
        </w:rPr>
        <w:t> </w:t>
      </w:r>
      <w:r>
        <w:rPr>
          <w:rFonts w:ascii="仿宋" w:eastAsia="仿宋" w:hAnsi="仿宋" w:hint="eastAsia"/>
          <w:color w:val="484848"/>
          <w:sz w:val="32"/>
          <w:szCs w:val="32"/>
        </w:rPr>
        <w:t>（代章）</w:t>
      </w:r>
      <w:r>
        <w:rPr>
          <w:rFonts w:ascii="仿宋" w:eastAsia="仿宋" w:hAnsi="仿宋" w:hint="eastAsia"/>
          <w:color w:val="484848"/>
          <w:sz w:val="32"/>
          <w:szCs w:val="32"/>
        </w:rPr>
        <w:br/>
      </w:r>
      <w:r>
        <w:rPr>
          <w:rFonts w:ascii="MS Mincho" w:eastAsia="MS Mincho" w:hAnsi="MS Mincho" w:cs="MS Mincho" w:hint="eastAsia"/>
          <w:color w:val="484848"/>
          <w:sz w:val="32"/>
          <w:szCs w:val="32"/>
        </w:rPr>
        <w:t> </w:t>
      </w:r>
      <w:r>
        <w:rPr>
          <w:rFonts w:ascii="MS Mincho" w:eastAsia="MS Mincho" w:hAnsi="MS Mincho" w:cs="MS Mincho" w:hint="eastAsia"/>
          <w:color w:val="484848"/>
          <w:sz w:val="32"/>
          <w:szCs w:val="32"/>
        </w:rPr>
        <w:t> </w:t>
      </w:r>
      <w:r>
        <w:rPr>
          <w:rFonts w:ascii="MS Mincho" w:eastAsia="MS Mincho" w:hAnsi="MS Mincho" w:cs="MS Mincho" w:hint="eastAsia"/>
          <w:color w:val="484848"/>
          <w:sz w:val="32"/>
          <w:szCs w:val="32"/>
        </w:rPr>
        <w:t> </w:t>
      </w:r>
      <w:r>
        <w:rPr>
          <w:rFonts w:ascii="仿宋" w:eastAsia="仿宋" w:hAnsi="仿宋" w:hint="eastAsia"/>
          <w:color w:val="484848"/>
          <w:sz w:val="32"/>
          <w:szCs w:val="32"/>
        </w:rPr>
        <w:t>2020年6月17日</w:t>
      </w:r>
    </w:p>
    <w:p w:rsidR="0065340E" w:rsidRDefault="0065340E" w:rsidP="0065340E">
      <w:pPr>
        <w:pStyle w:val="a3"/>
        <w:spacing w:before="0" w:beforeAutospacing="0" w:after="0" w:afterAutospacing="0"/>
        <w:jc w:val="both"/>
        <w:rPr>
          <w:rFonts w:ascii="仿宋" w:eastAsia="仿宋" w:hAnsi="仿宋" w:hint="eastAsia"/>
          <w:color w:val="484848"/>
          <w:sz w:val="32"/>
          <w:szCs w:val="32"/>
        </w:rPr>
      </w:pPr>
      <w:r>
        <w:rPr>
          <w:rFonts w:ascii="仿宋" w:eastAsia="仿宋" w:hAnsi="仿宋" w:hint="eastAsia"/>
          <w:color w:val="484848"/>
          <w:sz w:val="32"/>
          <w:szCs w:val="32"/>
        </w:rPr>
        <w:t xml:space="preserve">　        　（信息公开形式：主动公开）</w:t>
      </w:r>
    </w:p>
    <w:p w:rsidR="0065340E" w:rsidRPr="0065340E" w:rsidRDefault="0065340E">
      <w:pPr>
        <w:rPr>
          <w:rFonts w:hint="eastAsia"/>
        </w:rPr>
      </w:pPr>
    </w:p>
    <w:sectPr w:rsidR="0065340E" w:rsidRPr="0065340E" w:rsidSect="006D388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5340E"/>
    <w:rsid w:val="0065340E"/>
    <w:rsid w:val="006D388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388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5340E"/>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65340E"/>
    <w:rPr>
      <w:color w:val="0000FF"/>
      <w:u w:val="single"/>
    </w:rPr>
  </w:style>
  <w:style w:type="paragraph" w:styleId="a5">
    <w:name w:val="Balloon Text"/>
    <w:basedOn w:val="a"/>
    <w:link w:val="Char"/>
    <w:uiPriority w:val="99"/>
    <w:semiHidden/>
    <w:unhideWhenUsed/>
    <w:rsid w:val="0065340E"/>
    <w:rPr>
      <w:sz w:val="18"/>
      <w:szCs w:val="18"/>
    </w:rPr>
  </w:style>
  <w:style w:type="character" w:customStyle="1" w:styleId="Char">
    <w:name w:val="批注框文本 Char"/>
    <w:basedOn w:val="a0"/>
    <w:link w:val="a5"/>
    <w:uiPriority w:val="99"/>
    <w:semiHidden/>
    <w:rsid w:val="0065340E"/>
    <w:rPr>
      <w:sz w:val="18"/>
      <w:szCs w:val="18"/>
    </w:rPr>
  </w:style>
</w:styles>
</file>

<file path=word/webSettings.xml><?xml version="1.0" encoding="utf-8"?>
<w:webSettings xmlns:r="http://schemas.openxmlformats.org/officeDocument/2006/relationships" xmlns:w="http://schemas.openxmlformats.org/wordprocessingml/2006/main">
  <w:divs>
    <w:div w:id="1492064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nhc.gov.cn/jkj/s7934td/202006/a6bad7182ddd4a5dba99026d746cb462/files/88f7b533fe0b4398aa3ddb7524a1e5b2.doc" TargetMode="External"/><Relationship Id="rId4"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357</Words>
  <Characters>2036</Characters>
  <Application>Microsoft Office Word</Application>
  <DocSecurity>0</DocSecurity>
  <Lines>16</Lines>
  <Paragraphs>4</Paragraphs>
  <ScaleCrop>false</ScaleCrop>
  <Company/>
  <LinksUpToDate>false</LinksUpToDate>
  <CharactersWithSpaces>2389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陈敏红</dc:creator>
  <cp:lastModifiedBy>陈敏红</cp:lastModifiedBy>
  <cp:revision>1</cp:revision>
  <dcterms:created xsi:type="dcterms:W3CDTF">2021-02-05T07:44:00Z</dcterms:created>
  <dcterms:modified xsi:type="dcterms:W3CDTF">2021-02-05T07:46:00Z</dcterms:modified>
</cp:coreProperties>
</file>